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仿宋_GB2312"/>
          <w:sz w:val="32"/>
          <w:szCs w:val="32"/>
        </w:rPr>
      </w:pPr>
    </w:p>
    <w:p>
      <w:pPr>
        <w:adjustRightInd w:val="0"/>
        <w:snapToGrid w:val="0"/>
        <w:spacing w:line="360" w:lineRule="auto"/>
        <w:jc w:val="center"/>
        <w:rPr>
          <w:rFonts w:ascii="Times New Roman" w:hAnsi="Times New Roman" w:eastAsia="仿宋_GB2312"/>
          <w:sz w:val="32"/>
          <w:szCs w:val="32"/>
        </w:rPr>
      </w:pPr>
    </w:p>
    <w:p>
      <w:pPr>
        <w:adjustRightInd w:val="0"/>
        <w:snapToGrid w:val="0"/>
        <w:spacing w:line="360" w:lineRule="auto"/>
        <w:jc w:val="center"/>
        <w:rPr>
          <w:rFonts w:ascii="Times New Roman" w:hAnsi="Times New Roman" w:eastAsia="仿宋_GB2312"/>
          <w:sz w:val="32"/>
          <w:szCs w:val="32"/>
        </w:rPr>
      </w:pPr>
    </w:p>
    <w:p>
      <w:pPr>
        <w:adjustRightInd w:val="0"/>
        <w:snapToGrid w:val="0"/>
        <w:spacing w:line="360" w:lineRule="auto"/>
        <w:jc w:val="center"/>
        <w:rPr>
          <w:rFonts w:ascii="Times New Roman" w:hAnsi="Times New Roman" w:eastAsia="仿宋_GB2312"/>
          <w:sz w:val="32"/>
          <w:szCs w:val="32"/>
        </w:rPr>
      </w:pPr>
    </w:p>
    <w:p>
      <w:pPr>
        <w:adjustRightInd w:val="0"/>
        <w:snapToGrid w:val="0"/>
        <w:spacing w:line="360" w:lineRule="auto"/>
        <w:jc w:val="center"/>
        <w:rPr>
          <w:rFonts w:ascii="Times New Roman" w:hAnsi="Times New Roman" w:eastAsia="仿宋_GB2312"/>
          <w:sz w:val="32"/>
          <w:szCs w:val="32"/>
        </w:rPr>
      </w:pPr>
    </w:p>
    <w:p>
      <w:pPr>
        <w:adjustRightInd w:val="0"/>
        <w:snapToGrid w:val="0"/>
        <w:spacing w:line="360" w:lineRule="auto"/>
        <w:jc w:val="right"/>
        <w:rPr>
          <w:rFonts w:ascii="仿宋_GB2312" w:hAnsi="Times New Roman" w:eastAsia="仿宋_GB2312"/>
          <w:sz w:val="32"/>
          <w:szCs w:val="32"/>
        </w:rPr>
      </w:pPr>
      <w:r>
        <w:rPr>
          <w:rFonts w:hint="eastAsia" w:ascii="仿宋_GB2312" w:hAnsi="Times New Roman" w:eastAsia="仿宋_GB2312"/>
          <w:sz w:val="32"/>
          <w:szCs w:val="32"/>
        </w:rPr>
        <w:t>国卫基层函〔2018〕16号</w:t>
      </w:r>
    </w:p>
    <w:p>
      <w:pPr>
        <w:adjustRightInd w:val="0"/>
        <w:snapToGrid w:val="0"/>
        <w:spacing w:line="360" w:lineRule="auto"/>
        <w:jc w:val="center"/>
        <w:rPr>
          <w:rFonts w:ascii="Times New Roman" w:hAnsi="Times New Roman"/>
          <w:sz w:val="44"/>
          <w:szCs w:val="44"/>
        </w:rPr>
      </w:pPr>
    </w:p>
    <w:p>
      <w:pPr>
        <w:adjustRightInd w:val="0"/>
        <w:snapToGrid w:val="0"/>
        <w:spacing w:line="288" w:lineRule="auto"/>
        <w:jc w:val="center"/>
        <w:rPr>
          <w:rFonts w:ascii="宋体" w:hAnsi="宋体"/>
          <w:b/>
          <w:sz w:val="44"/>
          <w:szCs w:val="44"/>
        </w:rPr>
      </w:pPr>
      <w:r>
        <w:rPr>
          <w:rFonts w:hint="eastAsia" w:ascii="宋体" w:hAnsi="宋体"/>
          <w:b/>
          <w:sz w:val="44"/>
          <w:szCs w:val="44"/>
        </w:rPr>
        <w:t>国家卫生计生委  财政部</w:t>
      </w:r>
    </w:p>
    <w:p>
      <w:pPr>
        <w:adjustRightInd w:val="0"/>
        <w:snapToGrid w:val="0"/>
        <w:spacing w:line="288" w:lineRule="auto"/>
        <w:jc w:val="center"/>
        <w:rPr>
          <w:rFonts w:ascii="宋体" w:hAnsi="宋体"/>
          <w:b/>
          <w:sz w:val="44"/>
          <w:szCs w:val="44"/>
        </w:rPr>
      </w:pPr>
      <w:r>
        <w:rPr>
          <w:rFonts w:ascii="宋体" w:hAnsi="宋体"/>
          <w:b/>
          <w:sz w:val="44"/>
          <w:szCs w:val="44"/>
        </w:rPr>
        <w:t>关于开展201</w:t>
      </w:r>
      <w:r>
        <w:rPr>
          <w:rFonts w:hint="eastAsia" w:ascii="宋体" w:hAnsi="宋体"/>
          <w:b/>
          <w:sz w:val="44"/>
          <w:szCs w:val="44"/>
        </w:rPr>
        <w:t>7</w:t>
      </w:r>
      <w:r>
        <w:rPr>
          <w:rFonts w:ascii="宋体" w:hAnsi="宋体"/>
          <w:b/>
          <w:sz w:val="44"/>
          <w:szCs w:val="44"/>
        </w:rPr>
        <w:t>年度国家基本公共卫生</w:t>
      </w:r>
    </w:p>
    <w:p>
      <w:pPr>
        <w:adjustRightInd w:val="0"/>
        <w:snapToGrid w:val="0"/>
        <w:spacing w:line="288" w:lineRule="auto"/>
        <w:jc w:val="center"/>
        <w:rPr>
          <w:rFonts w:ascii="宋体" w:hAnsi="宋体"/>
          <w:b/>
          <w:sz w:val="44"/>
          <w:szCs w:val="44"/>
        </w:rPr>
      </w:pPr>
      <w:r>
        <w:rPr>
          <w:rFonts w:ascii="宋体" w:hAnsi="宋体"/>
          <w:b/>
          <w:sz w:val="44"/>
          <w:szCs w:val="44"/>
        </w:rPr>
        <w:t>服务项目</w:t>
      </w:r>
      <w:r>
        <w:rPr>
          <w:rFonts w:hint="eastAsia" w:ascii="宋体" w:hAnsi="宋体"/>
          <w:b/>
          <w:sz w:val="44"/>
          <w:szCs w:val="44"/>
        </w:rPr>
        <w:t>绩效评价（考核）</w:t>
      </w:r>
      <w:r>
        <w:rPr>
          <w:rFonts w:ascii="宋体" w:hAnsi="宋体"/>
          <w:b/>
          <w:sz w:val="44"/>
          <w:szCs w:val="44"/>
        </w:rPr>
        <w:t>的通知</w:t>
      </w:r>
    </w:p>
    <w:p>
      <w:pPr>
        <w:adjustRightInd w:val="0"/>
        <w:snapToGrid w:val="0"/>
        <w:spacing w:line="360" w:lineRule="auto"/>
        <w:rPr>
          <w:rFonts w:ascii="楷体_GB2312" w:hAnsi="Times New Roman" w:eastAsia="楷体_GB2312"/>
          <w:b/>
          <w:sz w:val="32"/>
          <w:szCs w:val="32"/>
        </w:rPr>
      </w:pPr>
    </w:p>
    <w:p>
      <w:pPr>
        <w:adjustRightInd w:val="0"/>
        <w:snapToGrid w:val="0"/>
        <w:spacing w:line="360" w:lineRule="auto"/>
        <w:rPr>
          <w:rFonts w:ascii="仿宋_GB2312" w:hAnsi="Times New Roman" w:eastAsia="仿宋_GB2312"/>
          <w:sz w:val="32"/>
          <w:szCs w:val="32"/>
        </w:rPr>
      </w:pPr>
      <w:r>
        <w:rPr>
          <w:rFonts w:hint="eastAsia" w:ascii="仿宋_GB2312" w:hAnsi="Times New Roman" w:eastAsia="仿宋_GB2312"/>
          <w:sz w:val="32"/>
          <w:szCs w:val="32"/>
        </w:rPr>
        <w:t>各省、自治区、直辖市卫生计生委、财政厅（局），新疆生产建设兵团卫生局、人口计生委、财务局：</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为贯彻落实党的十九大</w:t>
      </w:r>
      <w:bookmarkStart w:id="0" w:name="_GoBack"/>
      <w:bookmarkEnd w:id="0"/>
      <w:r>
        <w:rPr>
          <w:rFonts w:hint="eastAsia" w:ascii="仿宋_GB2312" w:hAnsi="Times New Roman" w:eastAsia="仿宋_GB2312"/>
          <w:sz w:val="32"/>
          <w:szCs w:val="32"/>
        </w:rPr>
        <w:t>精神，持续推进国家基本公共卫生服务项目工作开展及各项任务落实，根据《关于做好2017年国家基本公共卫生服务项目工作的通知》（国卫基层发〔2017〕46号）、《关于印发国家基本公共卫生服务项目绩效考核指导方案的通知》（国卫办基层函〔2015〕35号）、《关于印发&lt;公共卫生服务补助资金管理暂行办法&gt;的通知》（财社〔2015〕255号）、《关于修订&lt;公共卫生服务补助资金管理暂行办法&gt;的通知》（财社〔2016〕229号）等有关要求，国家卫生计生委、财政部将继续对各地开展2017年度国家基本公共卫生服务项目绩效评价（考核，下同），现将有关事宜通知如下：</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绩效评价范围</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2017年度国家基本公共卫生服务项目绩效评价范围将覆盖所有省、自治区、直辖市和新疆生产建设兵团。</w:t>
      </w:r>
    </w:p>
    <w:p>
      <w:pPr>
        <w:adjustRightInd w:val="0"/>
        <w:snapToGrid w:val="0"/>
        <w:spacing w:line="360" w:lineRule="auto"/>
        <w:ind w:firstLine="640" w:firstLineChars="200"/>
        <w:rPr>
          <w:rFonts w:ascii="Times New Roman" w:hAnsi="Times New Roman" w:eastAsia="仿宋_GB2312"/>
          <w:sz w:val="32"/>
          <w:szCs w:val="32"/>
        </w:rPr>
      </w:pPr>
      <w:r>
        <w:rPr>
          <w:rFonts w:hint="eastAsia" w:ascii="Times New Roman" w:hAnsi="Times New Roman" w:eastAsia="黑体"/>
          <w:sz w:val="32"/>
          <w:szCs w:val="32"/>
        </w:rPr>
        <w:t>二、绩效评价</w:t>
      </w:r>
      <w:r>
        <w:rPr>
          <w:rFonts w:ascii="Times New Roman" w:hAnsi="Times New Roman" w:eastAsia="黑体"/>
          <w:sz w:val="32"/>
          <w:szCs w:val="32"/>
        </w:rPr>
        <w:t>内容</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（一）项目资金管理情况。</w:t>
      </w:r>
      <w:r>
        <w:rPr>
          <w:rFonts w:hint="eastAsia" w:ascii="仿宋_GB2312" w:hAnsi="Times New Roman" w:eastAsia="仿宋_GB2312"/>
          <w:sz w:val="32"/>
          <w:szCs w:val="32"/>
        </w:rPr>
        <w:t>重点评价省、市、县落实配套资金、及时拨付资金等情况；县级制定各项服务补助或购买服务支付标准，并按照服务数量和质量拨付资金情况；保障村卫生室补助资金落实情况。</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（二）项目组织管理情况。</w:t>
      </w:r>
      <w:r>
        <w:rPr>
          <w:rFonts w:hint="eastAsia" w:ascii="仿宋_GB2312" w:hAnsi="Times New Roman" w:eastAsia="仿宋_GB2312"/>
          <w:sz w:val="32"/>
          <w:szCs w:val="32"/>
        </w:rPr>
        <w:t>包括各级卫生计生行政部门开展基本公共卫生服务项目政策、《国家基本公共卫生服务规范》（第三版）等培训情况；开展基本公共卫生服务项目宣传，包括在基层医疗卫生机构醒目位置张贴国家统一制定的基本公共卫生宣传壁报、播放公益广告等；开展绩效评价，实行评价结果与经费拨付挂钩。</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（三）重点绩效评价项目和内容。</w:t>
      </w:r>
      <w:r>
        <w:rPr>
          <w:rFonts w:hint="eastAsia" w:ascii="仿宋_GB2312" w:hAnsi="Times New Roman" w:eastAsia="仿宋_GB2312"/>
          <w:sz w:val="32"/>
          <w:szCs w:val="32"/>
        </w:rPr>
        <w:t>主要有慢性病患者健康管理、预防接种，包括服务数量完成情况，服务规范性、服务效果等；</w:t>
      </w:r>
      <w:r>
        <w:rPr>
          <w:rFonts w:ascii="仿宋_GB2312" w:hAnsi="Times New Roman" w:eastAsia="仿宋_GB2312"/>
          <w:sz w:val="32"/>
          <w:szCs w:val="32"/>
        </w:rPr>
        <w:t>基本公共卫生服务</w:t>
      </w:r>
      <w:r>
        <w:rPr>
          <w:rFonts w:hint="eastAsia" w:ascii="仿宋_GB2312" w:hAnsi="Times New Roman" w:eastAsia="仿宋_GB2312"/>
          <w:sz w:val="32"/>
          <w:szCs w:val="32"/>
        </w:rPr>
        <w:t>入户服务</w:t>
      </w:r>
      <w:r>
        <w:rPr>
          <w:rFonts w:ascii="仿宋_GB2312" w:hAnsi="Times New Roman" w:eastAsia="仿宋_GB2312"/>
          <w:sz w:val="32"/>
          <w:szCs w:val="32"/>
        </w:rPr>
        <w:t>项目</w:t>
      </w:r>
      <w:r>
        <w:rPr>
          <w:rFonts w:hint="eastAsia" w:ascii="仿宋_GB2312" w:hAnsi="Times New Roman" w:eastAsia="仿宋_GB2312"/>
          <w:sz w:val="32"/>
          <w:szCs w:val="32"/>
        </w:rPr>
        <w:t>内容</w:t>
      </w:r>
      <w:r>
        <w:rPr>
          <w:rFonts w:ascii="仿宋_GB2312" w:hAnsi="Times New Roman" w:eastAsia="仿宋_GB2312"/>
          <w:sz w:val="32"/>
          <w:szCs w:val="32"/>
        </w:rPr>
        <w:t>落实情况</w:t>
      </w:r>
      <w:r>
        <w:rPr>
          <w:rFonts w:hint="eastAsia" w:ascii="仿宋_GB2312" w:hAnsi="Times New Roman" w:eastAsia="仿宋_GB2312"/>
          <w:sz w:val="32"/>
          <w:szCs w:val="32"/>
        </w:rPr>
        <w:t>，包括新生儿家庭访视、孕产妇产后访视、结核病入户随访；基本公共卫生服务项目数据上报情况等。</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（四）问题整改情况。</w:t>
      </w:r>
      <w:r>
        <w:rPr>
          <w:rFonts w:hint="eastAsia" w:ascii="仿宋_GB2312" w:hAnsi="Times New Roman" w:eastAsia="仿宋_GB2312"/>
          <w:sz w:val="32"/>
          <w:szCs w:val="32"/>
        </w:rPr>
        <w:t>包括既往历次中央对本地区开展基本公共卫生服务项目绩效评价发现的问题整改情况。</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（五）加分项。</w:t>
      </w:r>
      <w:r>
        <w:rPr>
          <w:rFonts w:hint="eastAsia" w:ascii="仿宋_GB2312" w:hAnsi="Times New Roman" w:eastAsia="仿宋_GB2312"/>
          <w:sz w:val="32"/>
          <w:szCs w:val="32"/>
        </w:rPr>
        <w:t>将电子健康档案向居民开放,激活电子健康档案的日常使用；长期向社会公布提供基本公共卫生服务的机构名称、地址、联系方式等情况。</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（六）一票否决项。</w:t>
      </w:r>
      <w:r>
        <w:rPr>
          <w:rFonts w:hint="eastAsia" w:ascii="仿宋_GB2312" w:hAnsi="Times New Roman" w:eastAsia="仿宋_GB2312"/>
          <w:sz w:val="32"/>
          <w:szCs w:val="32"/>
        </w:rPr>
        <w:t>对绩效评价中发现有弄虚作假的，实行一票否决。</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关于免费提供避孕药具项目和健康素养促进项目，一并纳入国家基本公共卫生服务项目整体绩效评价中。</w:t>
      </w:r>
    </w:p>
    <w:p>
      <w:pPr>
        <w:adjustRightInd w:val="0"/>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、绩效评价形式</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2017年度国家基本公共卫生服务项目绩效评价将继续委托国家卫生计生委项目资金监管服务中心承担。</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（一）现场复核。</w:t>
      </w:r>
      <w:r>
        <w:rPr>
          <w:rFonts w:hint="eastAsia" w:ascii="仿宋_GB2312" w:hAnsi="Times New Roman" w:eastAsia="仿宋_GB2312"/>
          <w:sz w:val="32"/>
          <w:szCs w:val="32"/>
        </w:rPr>
        <w:t>主要采取听取汇报、查阅资料、实地核查、人员访谈、问卷调查、查看信息化平台数据情况等形式开展。</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（二）电话调查。</w:t>
      </w:r>
      <w:r>
        <w:rPr>
          <w:rFonts w:hint="eastAsia" w:ascii="仿宋_GB2312" w:hAnsi="Times New Roman" w:eastAsia="仿宋_GB2312"/>
          <w:sz w:val="32"/>
          <w:szCs w:val="32"/>
        </w:rPr>
        <w:t>包括居民知晓率、满意度调查。</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（三）日常监测。</w:t>
      </w:r>
      <w:r>
        <w:rPr>
          <w:rFonts w:hint="eastAsia" w:ascii="仿宋_GB2312" w:hAnsi="Times New Roman" w:eastAsia="仿宋_GB2312"/>
          <w:sz w:val="32"/>
          <w:szCs w:val="32"/>
        </w:rPr>
        <w:t>将项目工作进展数据上报的及时性、逻辑合理性等计入年度项目绩效评价。</w:t>
      </w:r>
    </w:p>
    <w:p>
      <w:pPr>
        <w:adjustRightInd w:val="0"/>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、时间安排</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各省（区、市）务必于2018年4月10日前完成本地绩效评价工作。4月中旬，国家卫生计生委和财政部将联合启动2017年度国家基本公共卫生服务项目绩效评价现场复核工作，4月底前完成全部绩效评价工作</w:t>
      </w:r>
      <w:r>
        <w:rPr>
          <w:rFonts w:hint="eastAsia" w:ascii="仿宋_GB2312" w:hAnsi="Times New Roman" w:eastAsia="仿宋_GB2312"/>
          <w:spacing w:val="-2"/>
          <w:sz w:val="32"/>
          <w:szCs w:val="32"/>
        </w:rPr>
        <w:t>。</w:t>
      </w:r>
      <w:r>
        <w:rPr>
          <w:rFonts w:hint="eastAsia" w:ascii="仿宋_GB2312" w:hAnsi="Times New Roman" w:eastAsia="仿宋_GB2312"/>
          <w:sz w:val="32"/>
          <w:szCs w:val="32"/>
        </w:rPr>
        <w:t>具体时间另行通知。</w:t>
      </w:r>
    </w:p>
    <w:p>
      <w:pPr>
        <w:adjustRightInd w:val="0"/>
        <w:snapToGrid w:val="0"/>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、相关要求</w:t>
      </w:r>
    </w:p>
    <w:p>
      <w:pPr>
        <w:adjustRightInd w:val="0"/>
        <w:snapToGrid w:val="0"/>
        <w:spacing w:line="360" w:lineRule="auto"/>
        <w:ind w:firstLine="643" w:firstLineChars="200"/>
        <w:rPr>
          <w:rFonts w:ascii="仿宋_GB2312" w:hAnsi="黑体" w:eastAsia="仿宋_GB2312"/>
          <w:sz w:val="32"/>
          <w:szCs w:val="32"/>
        </w:rPr>
      </w:pPr>
      <w:r>
        <w:rPr>
          <w:rFonts w:hint="eastAsia" w:ascii="楷体_GB2312" w:hAnsi="Times New Roman" w:eastAsia="楷体_GB2312"/>
          <w:b/>
          <w:sz w:val="32"/>
          <w:szCs w:val="32"/>
        </w:rPr>
        <w:t>（一）认真组织绩效评价。</w:t>
      </w:r>
      <w:r>
        <w:rPr>
          <w:rFonts w:hint="eastAsia" w:ascii="仿宋_GB2312" w:hAnsi="Times New Roman" w:eastAsia="仿宋_GB2312"/>
          <w:sz w:val="32"/>
          <w:szCs w:val="32"/>
        </w:rPr>
        <w:t>各省（区、市）要按照要求，加强本地区基本公共卫生服务项目绩效评价工作的组织管理，更加突出项目成效、居民感受度和</w:t>
      </w:r>
      <w:r>
        <w:rPr>
          <w:rFonts w:hint="eastAsia" w:ascii="仿宋_GB2312" w:hAnsi="黑体" w:eastAsia="仿宋_GB2312"/>
          <w:sz w:val="32"/>
          <w:szCs w:val="32"/>
        </w:rPr>
        <w:t>县区级绩效评价主体作用。县区级卫生计生行政部门和财政部门要对辖区所有承担任务的医疗卫生机构开展一次综合绩效评价。省要对地市、地市要对县区进行逐级绩效评价并排名。国家将根据排名情况选择部分地区进行绩效评价，评价结果与中央财政补助资金挂钩。</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（二）按时提交报告。</w:t>
      </w:r>
      <w:r>
        <w:rPr>
          <w:rFonts w:hint="eastAsia" w:ascii="仿宋_GB2312" w:hAnsi="Times New Roman" w:eastAsia="仿宋_GB2312"/>
          <w:sz w:val="32"/>
          <w:szCs w:val="32"/>
        </w:rPr>
        <w:t>各省（区、市）要于2018年4月10日前将本省（区、市）国家基本公共卫生服务项目绩效评价报告（包括排名情况）纸质版和电子版分别报送国家卫生计生委基层卫生司和项目资金监管中心。</w:t>
      </w:r>
    </w:p>
    <w:p>
      <w:pPr>
        <w:adjustRightInd w:val="0"/>
        <w:snapToGrid w:val="0"/>
        <w:spacing w:line="360" w:lineRule="auto"/>
        <w:ind w:firstLine="643" w:firstLineChars="200"/>
        <w:rPr>
          <w:rFonts w:ascii="仿宋_GB2312" w:hAnsi="Times New Roman" w:eastAsia="仿宋_GB2312"/>
          <w:sz w:val="32"/>
          <w:szCs w:val="32"/>
        </w:rPr>
      </w:pPr>
      <w:r>
        <w:rPr>
          <w:rFonts w:hint="eastAsia" w:ascii="楷体_GB2312" w:hAnsi="Times New Roman" w:eastAsia="楷体_GB2312"/>
          <w:b/>
          <w:sz w:val="32"/>
          <w:szCs w:val="32"/>
        </w:rPr>
        <w:t>（三）严肃绩效评价纪律。</w:t>
      </w:r>
      <w:r>
        <w:rPr>
          <w:rFonts w:hint="eastAsia" w:ascii="仿宋_GB2312" w:hAnsi="Times New Roman" w:eastAsia="仿宋_GB2312"/>
          <w:sz w:val="32"/>
          <w:szCs w:val="32"/>
        </w:rPr>
        <w:t>各地要严格制订和执行绩效评价纪律，严格按照绩效评价方案开展评价，确保评价结果客观、公正。严格遵守中央八项规定精神，现场绩效评价要轻车简从，严禁超标准接待、赠送礼品，严禁提供虚假材料、妨碍绩效评价人员正常工作等影响绩效评价秩序的情况发生。</w:t>
      </w:r>
    </w:p>
    <w:p>
      <w:pPr>
        <w:adjustRightInd w:val="0"/>
        <w:snapToGrid w:val="0"/>
        <w:spacing w:line="360" w:lineRule="auto"/>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国家卫生计生委联系人：王旭丹、王竞波（监管中心）</w:t>
      </w:r>
    </w:p>
    <w:p>
      <w:pPr>
        <w:adjustRightInd w:val="0"/>
        <w:snapToGrid w:val="0"/>
        <w:spacing w:line="360" w:lineRule="auto"/>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联系电话：010-62030880、68791536</w:t>
      </w:r>
    </w:p>
    <w:p>
      <w:pPr>
        <w:adjustRightInd w:val="0"/>
        <w:snapToGrid w:val="0"/>
        <w:spacing w:line="360" w:lineRule="auto"/>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传真：010-62030661、68791570</w:t>
      </w:r>
    </w:p>
    <w:p>
      <w:pPr>
        <w:adjustRightInd w:val="0"/>
        <w:snapToGrid w:val="0"/>
        <w:spacing w:line="360" w:lineRule="auto"/>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邮寄地址：北京市西城区西直门外南路1号院2号楼</w:t>
      </w:r>
    </w:p>
    <w:p>
      <w:pPr>
        <w:adjustRightInd w:val="0"/>
        <w:snapToGrid w:val="0"/>
        <w:spacing w:line="360" w:lineRule="auto"/>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邮编：100044</w:t>
      </w:r>
    </w:p>
    <w:p>
      <w:pPr>
        <w:adjustRightInd w:val="0"/>
        <w:snapToGrid w:val="0"/>
        <w:spacing w:line="360" w:lineRule="auto"/>
        <w:ind w:firstLine="640" w:firstLineChars="200"/>
        <w:jc w:val="left"/>
        <w:rPr>
          <w:rFonts w:ascii="仿宋_GB2312" w:hAnsi="Times New Roman" w:eastAsia="仿宋_GB2312"/>
          <w:w w:val="90"/>
          <w:sz w:val="32"/>
          <w:szCs w:val="32"/>
        </w:rPr>
      </w:pPr>
      <w:r>
        <w:rPr>
          <w:rFonts w:hint="eastAsia" w:ascii="仿宋_GB2312" w:hAnsi="Times New Roman" w:eastAsia="仿宋_GB2312"/>
          <w:sz w:val="32"/>
          <w:szCs w:val="32"/>
        </w:rPr>
        <w:t>邮箱：</w:t>
      </w:r>
      <w:r>
        <w:rPr>
          <w:rFonts w:hint="eastAsia" w:asciiTheme="minorEastAsia" w:hAnsiTheme="minorEastAsia" w:eastAsiaTheme="minorEastAsia"/>
          <w:sz w:val="32"/>
          <w:szCs w:val="32"/>
        </w:rPr>
        <w:t>primaryhealth@163.com、wangjb@nhfpc.gov.cn</w:t>
      </w:r>
    </w:p>
    <w:p>
      <w:pPr>
        <w:adjustRightInd w:val="0"/>
        <w:snapToGrid w:val="0"/>
        <w:spacing w:line="360" w:lineRule="auto"/>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财政部联系人：葛</w:t>
      </w:r>
      <w:r>
        <w:rPr>
          <w:rFonts w:hint="eastAsia" w:ascii="宋体" w:hAnsi="宋体" w:cs="宋体"/>
          <w:sz w:val="32"/>
          <w:szCs w:val="32"/>
        </w:rPr>
        <w:t>旻</w:t>
      </w:r>
      <w:r>
        <w:rPr>
          <w:rFonts w:hint="eastAsia" w:ascii="仿宋_GB2312" w:hAnsi="仿宋_GB2312" w:eastAsia="仿宋_GB2312" w:cs="仿宋_GB2312"/>
          <w:sz w:val="32"/>
          <w:szCs w:val="32"/>
        </w:rPr>
        <w:t>书</w:t>
      </w:r>
    </w:p>
    <w:p>
      <w:pPr>
        <w:adjustRightInd w:val="0"/>
        <w:snapToGrid w:val="0"/>
        <w:spacing w:line="360" w:lineRule="auto"/>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联系电话：010-68551276</w:t>
      </w:r>
    </w:p>
    <w:p>
      <w:pPr>
        <w:adjustRightInd w:val="0"/>
        <w:snapToGrid w:val="0"/>
        <w:spacing w:line="360" w:lineRule="auto"/>
        <w:jc w:val="left"/>
        <w:rPr>
          <w:rFonts w:ascii="仿宋_GB2312" w:hAnsi="Times New Roman" w:eastAsia="仿宋_GB2312"/>
          <w:sz w:val="32"/>
          <w:szCs w:val="32"/>
        </w:rPr>
      </w:pPr>
    </w:p>
    <w:p>
      <w:pPr>
        <w:adjustRightInd w:val="0"/>
        <w:snapToGrid w:val="0"/>
        <w:spacing w:line="360" w:lineRule="auto"/>
        <w:jc w:val="left"/>
        <w:rPr>
          <w:rFonts w:ascii="仿宋_GB2312" w:hAnsi="Times New Roman" w:eastAsia="仿宋_GB2312"/>
          <w:sz w:val="32"/>
          <w:szCs w:val="32"/>
        </w:rPr>
      </w:pPr>
    </w:p>
    <w:p>
      <w:pPr>
        <w:adjustRightInd w:val="0"/>
        <w:snapToGrid w:val="0"/>
        <w:spacing w:line="360" w:lineRule="auto"/>
        <w:jc w:val="center"/>
        <w:rPr>
          <w:rFonts w:ascii="仿宋_GB2312" w:hAnsi="Times New Roman" w:eastAsia="仿宋_GB2312"/>
          <w:sz w:val="32"/>
          <w:szCs w:val="32"/>
        </w:rPr>
      </w:pPr>
      <w:r>
        <w:rPr>
          <w:rFonts w:hint="eastAsia" w:ascii="仿宋_GB2312" w:hAnsi="Times New Roman" w:eastAsia="仿宋_GB2312"/>
          <w:sz w:val="32"/>
          <w:szCs w:val="32"/>
        </w:rPr>
        <w:t>国家卫生计生委       财政部</w:t>
      </w:r>
    </w:p>
    <w:p>
      <w:pPr>
        <w:adjustRightInd w:val="0"/>
        <w:snapToGrid w:val="0"/>
        <w:spacing w:line="360" w:lineRule="auto"/>
        <w:ind w:right="640" w:firstLine="4480" w:firstLineChars="1400"/>
        <w:jc w:val="left"/>
        <w:rPr>
          <w:rFonts w:ascii="仿宋_GB2312" w:hAnsi="Times New Roman" w:eastAsia="仿宋_GB2312"/>
          <w:sz w:val="32"/>
          <w:szCs w:val="32"/>
        </w:rPr>
      </w:pPr>
      <w:r>
        <w:rPr>
          <w:rFonts w:hint="eastAsia" w:ascii="仿宋_GB2312" w:hAnsi="Times New Roman" w:eastAsia="仿宋_GB2312"/>
          <w:sz w:val="32"/>
          <w:szCs w:val="32"/>
        </w:rPr>
        <w:t>2018年1月16日</w:t>
      </w:r>
    </w:p>
    <w:p>
      <w:pPr>
        <w:adjustRightInd w:val="0"/>
        <w:snapToGrid w:val="0"/>
        <w:spacing w:line="360" w:lineRule="auto"/>
        <w:ind w:firstLine="640" w:firstLineChars="200"/>
        <w:jc w:val="left"/>
        <w:rPr>
          <w:rFonts w:ascii="仿宋_GB2312" w:hAnsi="Times New Roman" w:eastAsia="仿宋_GB2312"/>
          <w:sz w:val="32"/>
          <w:szCs w:val="32"/>
        </w:rPr>
      </w:pPr>
    </w:p>
    <w:p>
      <w:pPr>
        <w:adjustRightInd w:val="0"/>
        <w:snapToGrid w:val="0"/>
        <w:spacing w:line="360" w:lineRule="auto"/>
        <w:ind w:firstLine="640" w:firstLineChars="200"/>
        <w:jc w:val="left"/>
        <w:rPr>
          <w:rFonts w:ascii="仿宋_GB2312" w:hAnsi="Times New Roman" w:eastAsia="仿宋_GB2312"/>
          <w:sz w:val="32"/>
          <w:szCs w:val="32"/>
        </w:rPr>
      </w:pPr>
    </w:p>
    <w:p>
      <w:pPr>
        <w:adjustRightInd w:val="0"/>
        <w:snapToGrid w:val="0"/>
        <w:spacing w:line="360" w:lineRule="auto"/>
        <w:ind w:firstLine="640" w:firstLineChars="200"/>
        <w:jc w:val="left"/>
        <w:rPr>
          <w:rFonts w:ascii="Times New Roman" w:hAnsi="Times New Roman" w:eastAsia="仿宋_GB2312"/>
          <w:sz w:val="32"/>
          <w:szCs w:val="32"/>
        </w:rPr>
      </w:pPr>
      <w:r>
        <w:rPr>
          <w:rFonts w:hint="eastAsia" w:ascii="仿宋_GB2312" w:hAnsi="Times New Roman" w:eastAsia="仿宋_GB2312"/>
          <w:sz w:val="32"/>
          <w:szCs w:val="32"/>
        </w:rPr>
        <w:t>（信息公开形式：主动公开）</w:t>
      </w:r>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10" w:hRule="atLeast"/>
        </w:trPr>
        <w:tc>
          <w:tcPr>
            <w:tcW w:w="8522" w:type="dxa"/>
            <w:vAlign w:val="center"/>
          </w:tcPr>
          <w:p>
            <w:pPr>
              <w:adjustRightInd w:val="0"/>
              <w:snapToGrid w:val="0"/>
              <w:rPr>
                <w:rFonts w:ascii="仿宋_GB2312" w:hAnsi="Times New Roman" w:eastAsia="仿宋_GB2312"/>
                <w:sz w:val="28"/>
                <w:szCs w:val="28"/>
              </w:rPr>
            </w:pPr>
            <w:r>
              <w:rPr>
                <w:rFonts w:hint="eastAsia" w:ascii="仿宋_GB2312" w:eastAsia="仿宋_GB2312"/>
                <w:sz w:val="28"/>
                <w:szCs w:val="28"/>
              </w:rPr>
              <w:t>抄送：国家卫生计生委项目资金监管服务中心。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vAlign w:val="center"/>
          </w:tcPr>
          <w:p>
            <w:pPr>
              <w:adjustRightInd w:val="0"/>
              <w:snapToGrid w:val="0"/>
              <w:rPr>
                <w:rFonts w:ascii="仿宋_GB2312" w:hAnsi="Times New Roman" w:eastAsia="仿宋_GB2312"/>
                <w:sz w:val="28"/>
                <w:szCs w:val="28"/>
              </w:rPr>
            </w:pPr>
            <w:r>
              <w:rPr>
                <w:rFonts w:hint="eastAsia" w:ascii="仿宋_GB2312" w:eastAsia="仿宋_GB2312"/>
                <w:sz w:val="28"/>
                <w:szCs w:val="28"/>
              </w:rPr>
              <w:t>国家卫生计生委办公厅                  2018年1月23日印发</w:t>
            </w:r>
          </w:p>
        </w:tc>
      </w:tr>
    </w:tbl>
    <w:p>
      <w:pPr>
        <w:pStyle w:val="13"/>
        <w:tabs>
          <w:tab w:val="left" w:pos="7740"/>
        </w:tabs>
        <w:adjustRightInd w:val="0"/>
        <w:snapToGrid w:val="0"/>
        <w:spacing w:line="360" w:lineRule="auto"/>
        <w:jc w:val="right"/>
      </w:pPr>
      <w:r>
        <w:rPr>
          <w:rFonts w:hint="eastAsia"/>
        </w:rPr>
        <w:t>校对：胡同宇</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64314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ZjFhYTFiYjZiOTQyMDgyODUyY2YyZDQ2YWEwMzgifQ=="/>
  </w:docVars>
  <w:rsids>
    <w:rsidRoot w:val="002032A0"/>
    <w:rsid w:val="00005292"/>
    <w:rsid w:val="00006C87"/>
    <w:rsid w:val="000076F5"/>
    <w:rsid w:val="0001340F"/>
    <w:rsid w:val="0001527D"/>
    <w:rsid w:val="00023348"/>
    <w:rsid w:val="000242BB"/>
    <w:rsid w:val="000252EF"/>
    <w:rsid w:val="00026621"/>
    <w:rsid w:val="0004258D"/>
    <w:rsid w:val="000510F5"/>
    <w:rsid w:val="000607A3"/>
    <w:rsid w:val="00077158"/>
    <w:rsid w:val="00081243"/>
    <w:rsid w:val="00082018"/>
    <w:rsid w:val="00091B7E"/>
    <w:rsid w:val="000A49DB"/>
    <w:rsid w:val="000B6365"/>
    <w:rsid w:val="000B7E57"/>
    <w:rsid w:val="000C1BC0"/>
    <w:rsid w:val="000C4127"/>
    <w:rsid w:val="000D21C9"/>
    <w:rsid w:val="000D63BE"/>
    <w:rsid w:val="000D7D01"/>
    <w:rsid w:val="000E01BB"/>
    <w:rsid w:val="000E2273"/>
    <w:rsid w:val="000E59F9"/>
    <w:rsid w:val="000E6182"/>
    <w:rsid w:val="000F06F8"/>
    <w:rsid w:val="000F7AE7"/>
    <w:rsid w:val="00103BAF"/>
    <w:rsid w:val="00110859"/>
    <w:rsid w:val="0011713E"/>
    <w:rsid w:val="00127AFD"/>
    <w:rsid w:val="00130DEC"/>
    <w:rsid w:val="00135C7B"/>
    <w:rsid w:val="00143DDE"/>
    <w:rsid w:val="00151C1D"/>
    <w:rsid w:val="00151F04"/>
    <w:rsid w:val="001533C0"/>
    <w:rsid w:val="001568A5"/>
    <w:rsid w:val="0016721D"/>
    <w:rsid w:val="00170545"/>
    <w:rsid w:val="0017054A"/>
    <w:rsid w:val="00176801"/>
    <w:rsid w:val="001A7A6D"/>
    <w:rsid w:val="001C0627"/>
    <w:rsid w:val="001D02A3"/>
    <w:rsid w:val="001E1CB0"/>
    <w:rsid w:val="001E1FBE"/>
    <w:rsid w:val="001E78CA"/>
    <w:rsid w:val="001F4268"/>
    <w:rsid w:val="001F5332"/>
    <w:rsid w:val="002032A0"/>
    <w:rsid w:val="00224A97"/>
    <w:rsid w:val="002264C0"/>
    <w:rsid w:val="00242349"/>
    <w:rsid w:val="0024521D"/>
    <w:rsid w:val="00264B3F"/>
    <w:rsid w:val="0027578E"/>
    <w:rsid w:val="0028294C"/>
    <w:rsid w:val="00286167"/>
    <w:rsid w:val="00293535"/>
    <w:rsid w:val="00296704"/>
    <w:rsid w:val="002A33BB"/>
    <w:rsid w:val="002A5CC9"/>
    <w:rsid w:val="002B1ABC"/>
    <w:rsid w:val="002B5068"/>
    <w:rsid w:val="002B7C43"/>
    <w:rsid w:val="002C0646"/>
    <w:rsid w:val="002C0888"/>
    <w:rsid w:val="002D1292"/>
    <w:rsid w:val="002E422E"/>
    <w:rsid w:val="002E587F"/>
    <w:rsid w:val="002F00E1"/>
    <w:rsid w:val="002F41E4"/>
    <w:rsid w:val="00315B7A"/>
    <w:rsid w:val="00316BF7"/>
    <w:rsid w:val="0032099C"/>
    <w:rsid w:val="0032638F"/>
    <w:rsid w:val="00327120"/>
    <w:rsid w:val="00334421"/>
    <w:rsid w:val="00336154"/>
    <w:rsid w:val="00337FE9"/>
    <w:rsid w:val="00340141"/>
    <w:rsid w:val="00342AD5"/>
    <w:rsid w:val="00344887"/>
    <w:rsid w:val="00354C6E"/>
    <w:rsid w:val="00356B5D"/>
    <w:rsid w:val="00357AD6"/>
    <w:rsid w:val="003605A8"/>
    <w:rsid w:val="00360E37"/>
    <w:rsid w:val="00363EF9"/>
    <w:rsid w:val="003679DB"/>
    <w:rsid w:val="00372F53"/>
    <w:rsid w:val="00381E28"/>
    <w:rsid w:val="00382E1A"/>
    <w:rsid w:val="00382EEC"/>
    <w:rsid w:val="0038564F"/>
    <w:rsid w:val="003A0F0C"/>
    <w:rsid w:val="003A2ABF"/>
    <w:rsid w:val="003B3020"/>
    <w:rsid w:val="003C30CE"/>
    <w:rsid w:val="003C3702"/>
    <w:rsid w:val="003D6CC4"/>
    <w:rsid w:val="003E2379"/>
    <w:rsid w:val="003F0006"/>
    <w:rsid w:val="003F345E"/>
    <w:rsid w:val="003F42E0"/>
    <w:rsid w:val="003F4DD2"/>
    <w:rsid w:val="0040024A"/>
    <w:rsid w:val="0040070C"/>
    <w:rsid w:val="00426B2A"/>
    <w:rsid w:val="0045556F"/>
    <w:rsid w:val="00467F0A"/>
    <w:rsid w:val="00470911"/>
    <w:rsid w:val="00470BAA"/>
    <w:rsid w:val="004755B7"/>
    <w:rsid w:val="004804F7"/>
    <w:rsid w:val="0049152E"/>
    <w:rsid w:val="00491839"/>
    <w:rsid w:val="00493736"/>
    <w:rsid w:val="00495BFE"/>
    <w:rsid w:val="00495D83"/>
    <w:rsid w:val="004A4A95"/>
    <w:rsid w:val="004B3316"/>
    <w:rsid w:val="004C126E"/>
    <w:rsid w:val="004E1661"/>
    <w:rsid w:val="004E350B"/>
    <w:rsid w:val="004E485E"/>
    <w:rsid w:val="004F0565"/>
    <w:rsid w:val="004F14BD"/>
    <w:rsid w:val="004F52DE"/>
    <w:rsid w:val="004F6945"/>
    <w:rsid w:val="005126A7"/>
    <w:rsid w:val="005450B5"/>
    <w:rsid w:val="005471CF"/>
    <w:rsid w:val="00571CC8"/>
    <w:rsid w:val="00577F6C"/>
    <w:rsid w:val="0059097E"/>
    <w:rsid w:val="00595A70"/>
    <w:rsid w:val="00597387"/>
    <w:rsid w:val="0059767D"/>
    <w:rsid w:val="005A34EF"/>
    <w:rsid w:val="005A476E"/>
    <w:rsid w:val="005A7ADA"/>
    <w:rsid w:val="005B2DF7"/>
    <w:rsid w:val="005B3B0B"/>
    <w:rsid w:val="005D61CC"/>
    <w:rsid w:val="005E311E"/>
    <w:rsid w:val="005E3AEA"/>
    <w:rsid w:val="005F05F5"/>
    <w:rsid w:val="005F0936"/>
    <w:rsid w:val="005F0C27"/>
    <w:rsid w:val="005F1500"/>
    <w:rsid w:val="005F78D3"/>
    <w:rsid w:val="00602C3D"/>
    <w:rsid w:val="00603618"/>
    <w:rsid w:val="00607105"/>
    <w:rsid w:val="00624485"/>
    <w:rsid w:val="0062607F"/>
    <w:rsid w:val="00630C7E"/>
    <w:rsid w:val="00631CFF"/>
    <w:rsid w:val="00633683"/>
    <w:rsid w:val="00633F6E"/>
    <w:rsid w:val="006477AD"/>
    <w:rsid w:val="006516A8"/>
    <w:rsid w:val="0065274C"/>
    <w:rsid w:val="006566E1"/>
    <w:rsid w:val="00671345"/>
    <w:rsid w:val="00682463"/>
    <w:rsid w:val="00683CD0"/>
    <w:rsid w:val="00684A00"/>
    <w:rsid w:val="00692375"/>
    <w:rsid w:val="006944BE"/>
    <w:rsid w:val="0069606E"/>
    <w:rsid w:val="006A290C"/>
    <w:rsid w:val="006C715E"/>
    <w:rsid w:val="006D5366"/>
    <w:rsid w:val="006D6BE0"/>
    <w:rsid w:val="00703A44"/>
    <w:rsid w:val="007048F5"/>
    <w:rsid w:val="00710C89"/>
    <w:rsid w:val="007136DF"/>
    <w:rsid w:val="00715206"/>
    <w:rsid w:val="007207BE"/>
    <w:rsid w:val="00724E4A"/>
    <w:rsid w:val="00725215"/>
    <w:rsid w:val="007345F5"/>
    <w:rsid w:val="0074245A"/>
    <w:rsid w:val="00742B07"/>
    <w:rsid w:val="00743928"/>
    <w:rsid w:val="00745CB0"/>
    <w:rsid w:val="00750867"/>
    <w:rsid w:val="007521C5"/>
    <w:rsid w:val="0075331E"/>
    <w:rsid w:val="007614BB"/>
    <w:rsid w:val="0077492A"/>
    <w:rsid w:val="00790BAD"/>
    <w:rsid w:val="007A0735"/>
    <w:rsid w:val="007B09EE"/>
    <w:rsid w:val="007B6607"/>
    <w:rsid w:val="007C07B4"/>
    <w:rsid w:val="007C5858"/>
    <w:rsid w:val="007D598B"/>
    <w:rsid w:val="007D6248"/>
    <w:rsid w:val="007D6E3C"/>
    <w:rsid w:val="007E0CEA"/>
    <w:rsid w:val="007F0D52"/>
    <w:rsid w:val="007F0ED5"/>
    <w:rsid w:val="007F1377"/>
    <w:rsid w:val="007F57D1"/>
    <w:rsid w:val="008019BA"/>
    <w:rsid w:val="008312A6"/>
    <w:rsid w:val="00834F30"/>
    <w:rsid w:val="00842C0E"/>
    <w:rsid w:val="00842FBF"/>
    <w:rsid w:val="008542A1"/>
    <w:rsid w:val="008573EA"/>
    <w:rsid w:val="00861C46"/>
    <w:rsid w:val="00871DEB"/>
    <w:rsid w:val="00884549"/>
    <w:rsid w:val="00885521"/>
    <w:rsid w:val="00891088"/>
    <w:rsid w:val="00897619"/>
    <w:rsid w:val="008A2B47"/>
    <w:rsid w:val="008A77CB"/>
    <w:rsid w:val="008A7BA3"/>
    <w:rsid w:val="008B2515"/>
    <w:rsid w:val="008C6385"/>
    <w:rsid w:val="008C78F9"/>
    <w:rsid w:val="008E1ADC"/>
    <w:rsid w:val="008E2D0E"/>
    <w:rsid w:val="008F31F4"/>
    <w:rsid w:val="009013A0"/>
    <w:rsid w:val="00906B79"/>
    <w:rsid w:val="009132E3"/>
    <w:rsid w:val="00917380"/>
    <w:rsid w:val="00930327"/>
    <w:rsid w:val="00930663"/>
    <w:rsid w:val="00942091"/>
    <w:rsid w:val="00942A43"/>
    <w:rsid w:val="0094587A"/>
    <w:rsid w:val="00950273"/>
    <w:rsid w:val="0095037C"/>
    <w:rsid w:val="00954EFB"/>
    <w:rsid w:val="00963812"/>
    <w:rsid w:val="00963853"/>
    <w:rsid w:val="0097050B"/>
    <w:rsid w:val="00975F40"/>
    <w:rsid w:val="00976F88"/>
    <w:rsid w:val="00983348"/>
    <w:rsid w:val="0098350A"/>
    <w:rsid w:val="00984D5E"/>
    <w:rsid w:val="00991E74"/>
    <w:rsid w:val="00997FED"/>
    <w:rsid w:val="009A4B55"/>
    <w:rsid w:val="009B1293"/>
    <w:rsid w:val="009B3290"/>
    <w:rsid w:val="009B58E4"/>
    <w:rsid w:val="009D241E"/>
    <w:rsid w:val="009D52F8"/>
    <w:rsid w:val="009E1C17"/>
    <w:rsid w:val="009E3DEF"/>
    <w:rsid w:val="00A027A8"/>
    <w:rsid w:val="00A168D3"/>
    <w:rsid w:val="00A20E5A"/>
    <w:rsid w:val="00A22706"/>
    <w:rsid w:val="00A30B4A"/>
    <w:rsid w:val="00A34056"/>
    <w:rsid w:val="00A36A65"/>
    <w:rsid w:val="00A419A1"/>
    <w:rsid w:val="00A41FA0"/>
    <w:rsid w:val="00A4269B"/>
    <w:rsid w:val="00A56D43"/>
    <w:rsid w:val="00A57188"/>
    <w:rsid w:val="00A57470"/>
    <w:rsid w:val="00A60D76"/>
    <w:rsid w:val="00A63453"/>
    <w:rsid w:val="00A6551E"/>
    <w:rsid w:val="00A7181A"/>
    <w:rsid w:val="00A726DD"/>
    <w:rsid w:val="00A7762B"/>
    <w:rsid w:val="00A81212"/>
    <w:rsid w:val="00A8245C"/>
    <w:rsid w:val="00A84555"/>
    <w:rsid w:val="00A84BF9"/>
    <w:rsid w:val="00A942DC"/>
    <w:rsid w:val="00AA0142"/>
    <w:rsid w:val="00AA0F64"/>
    <w:rsid w:val="00AA3D3E"/>
    <w:rsid w:val="00AA76F4"/>
    <w:rsid w:val="00AB3FD1"/>
    <w:rsid w:val="00AB43AB"/>
    <w:rsid w:val="00AB74D4"/>
    <w:rsid w:val="00AC0BEE"/>
    <w:rsid w:val="00AD0FC1"/>
    <w:rsid w:val="00AE7A72"/>
    <w:rsid w:val="00AF0F19"/>
    <w:rsid w:val="00AF6713"/>
    <w:rsid w:val="00B0002B"/>
    <w:rsid w:val="00B039A5"/>
    <w:rsid w:val="00B13C10"/>
    <w:rsid w:val="00B140B9"/>
    <w:rsid w:val="00B23BB2"/>
    <w:rsid w:val="00B24D02"/>
    <w:rsid w:val="00B31A14"/>
    <w:rsid w:val="00B360E8"/>
    <w:rsid w:val="00B369E1"/>
    <w:rsid w:val="00B475DE"/>
    <w:rsid w:val="00B513CE"/>
    <w:rsid w:val="00B526C3"/>
    <w:rsid w:val="00B55A6E"/>
    <w:rsid w:val="00B569A0"/>
    <w:rsid w:val="00B653AC"/>
    <w:rsid w:val="00B76F2C"/>
    <w:rsid w:val="00B91F85"/>
    <w:rsid w:val="00B9440D"/>
    <w:rsid w:val="00B95A40"/>
    <w:rsid w:val="00BB109D"/>
    <w:rsid w:val="00BB27AE"/>
    <w:rsid w:val="00BB7E1D"/>
    <w:rsid w:val="00BE1233"/>
    <w:rsid w:val="00BE43D6"/>
    <w:rsid w:val="00BF196D"/>
    <w:rsid w:val="00BF2CA4"/>
    <w:rsid w:val="00C106AC"/>
    <w:rsid w:val="00C150EF"/>
    <w:rsid w:val="00C15D5F"/>
    <w:rsid w:val="00C168D3"/>
    <w:rsid w:val="00C250D5"/>
    <w:rsid w:val="00C34ED5"/>
    <w:rsid w:val="00C50F4A"/>
    <w:rsid w:val="00C57332"/>
    <w:rsid w:val="00C725E3"/>
    <w:rsid w:val="00C80972"/>
    <w:rsid w:val="00C8159B"/>
    <w:rsid w:val="00C82A43"/>
    <w:rsid w:val="00C92BCF"/>
    <w:rsid w:val="00C94126"/>
    <w:rsid w:val="00CB2366"/>
    <w:rsid w:val="00CC365B"/>
    <w:rsid w:val="00CD4DCB"/>
    <w:rsid w:val="00CE25B6"/>
    <w:rsid w:val="00CE5CC5"/>
    <w:rsid w:val="00CE6492"/>
    <w:rsid w:val="00CE7381"/>
    <w:rsid w:val="00CF6925"/>
    <w:rsid w:val="00D13088"/>
    <w:rsid w:val="00D13C5D"/>
    <w:rsid w:val="00D15CA0"/>
    <w:rsid w:val="00D30D31"/>
    <w:rsid w:val="00D323CF"/>
    <w:rsid w:val="00D32A05"/>
    <w:rsid w:val="00D3363F"/>
    <w:rsid w:val="00D34722"/>
    <w:rsid w:val="00D34A98"/>
    <w:rsid w:val="00D41315"/>
    <w:rsid w:val="00D43DA8"/>
    <w:rsid w:val="00D4401C"/>
    <w:rsid w:val="00D4449F"/>
    <w:rsid w:val="00D46332"/>
    <w:rsid w:val="00D47C78"/>
    <w:rsid w:val="00D50A30"/>
    <w:rsid w:val="00D51232"/>
    <w:rsid w:val="00D571CD"/>
    <w:rsid w:val="00D60FE1"/>
    <w:rsid w:val="00D66ADC"/>
    <w:rsid w:val="00D67902"/>
    <w:rsid w:val="00D73480"/>
    <w:rsid w:val="00D82668"/>
    <w:rsid w:val="00D87A65"/>
    <w:rsid w:val="00D87EDD"/>
    <w:rsid w:val="00D93307"/>
    <w:rsid w:val="00D97B85"/>
    <w:rsid w:val="00DA34F7"/>
    <w:rsid w:val="00DA5D45"/>
    <w:rsid w:val="00DB55D0"/>
    <w:rsid w:val="00DB691A"/>
    <w:rsid w:val="00DE0D0D"/>
    <w:rsid w:val="00DE156B"/>
    <w:rsid w:val="00DF3C16"/>
    <w:rsid w:val="00DF49E7"/>
    <w:rsid w:val="00DF6AD2"/>
    <w:rsid w:val="00E145D7"/>
    <w:rsid w:val="00E257FF"/>
    <w:rsid w:val="00E32B71"/>
    <w:rsid w:val="00E40B4F"/>
    <w:rsid w:val="00E428B7"/>
    <w:rsid w:val="00E45A66"/>
    <w:rsid w:val="00E52DC6"/>
    <w:rsid w:val="00E642BD"/>
    <w:rsid w:val="00E75603"/>
    <w:rsid w:val="00E7787B"/>
    <w:rsid w:val="00E81143"/>
    <w:rsid w:val="00E838AD"/>
    <w:rsid w:val="00E860BC"/>
    <w:rsid w:val="00E86A1B"/>
    <w:rsid w:val="00E95845"/>
    <w:rsid w:val="00E975BB"/>
    <w:rsid w:val="00EA2969"/>
    <w:rsid w:val="00EA6B9F"/>
    <w:rsid w:val="00EB37B6"/>
    <w:rsid w:val="00EC4F3A"/>
    <w:rsid w:val="00EC55F2"/>
    <w:rsid w:val="00EE27A9"/>
    <w:rsid w:val="00EE39DF"/>
    <w:rsid w:val="00EF585D"/>
    <w:rsid w:val="00EF7587"/>
    <w:rsid w:val="00F01F40"/>
    <w:rsid w:val="00F04304"/>
    <w:rsid w:val="00F05188"/>
    <w:rsid w:val="00F137FE"/>
    <w:rsid w:val="00F3102F"/>
    <w:rsid w:val="00F37EBB"/>
    <w:rsid w:val="00F41A89"/>
    <w:rsid w:val="00F4239D"/>
    <w:rsid w:val="00F42739"/>
    <w:rsid w:val="00F50C2F"/>
    <w:rsid w:val="00F5275D"/>
    <w:rsid w:val="00F550A0"/>
    <w:rsid w:val="00F64E54"/>
    <w:rsid w:val="00F72C1A"/>
    <w:rsid w:val="00F758A9"/>
    <w:rsid w:val="00F84D73"/>
    <w:rsid w:val="00F87A03"/>
    <w:rsid w:val="00F90684"/>
    <w:rsid w:val="00F948C8"/>
    <w:rsid w:val="00FB094F"/>
    <w:rsid w:val="00FD2101"/>
    <w:rsid w:val="00FD2A56"/>
    <w:rsid w:val="00FD2CDD"/>
    <w:rsid w:val="00FE3957"/>
    <w:rsid w:val="00FF3DBB"/>
    <w:rsid w:val="00FF73FC"/>
    <w:rsid w:val="32A51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页眉 Char"/>
    <w:link w:val="4"/>
    <w:uiPriority w:val="99"/>
    <w:rPr>
      <w:sz w:val="18"/>
      <w:szCs w:val="18"/>
    </w:rPr>
  </w:style>
  <w:style w:type="character" w:customStyle="1" w:styleId="11">
    <w:name w:val="页脚 Char"/>
    <w:link w:val="3"/>
    <w:uiPriority w:val="99"/>
    <w:rPr>
      <w:sz w:val="18"/>
      <w:szCs w:val="18"/>
    </w:rPr>
  </w:style>
  <w:style w:type="paragraph" w:styleId="12">
    <w:name w:val="List Paragraph"/>
    <w:basedOn w:val="1"/>
    <w:qFormat/>
    <w:uiPriority w:val="34"/>
    <w:pPr>
      <w:ind w:firstLine="420" w:firstLineChars="200"/>
    </w:pPr>
  </w:style>
  <w:style w:type="paragraph" w:customStyle="1" w:styleId="13">
    <w:name w:val="样式1"/>
    <w:basedOn w:val="1"/>
    <w:uiPriority w:val="0"/>
    <w:rPr>
      <w:rFonts w:ascii="仿宋_GB2312" w:hAnsi="Times New Roman" w:eastAsia="仿宋_GB2312"/>
      <w:sz w:val="28"/>
      <w:szCs w:val="24"/>
    </w:rPr>
  </w:style>
  <w:style w:type="character" w:customStyle="1" w:styleId="14">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FF36A-455B-4E04-8376-BA801481B46B}">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5</Pages>
  <Words>1812</Words>
  <Characters>1958</Characters>
  <Lines>14</Lines>
  <Paragraphs>4</Paragraphs>
  <TotalTime>47</TotalTime>
  <ScaleCrop>false</ScaleCrop>
  <LinksUpToDate>false</LinksUpToDate>
  <CharactersWithSpaces>1985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2018-01-08T01:51:00Z</dcterms:created>
  <dc:creator>FtpDown</dc:creator>
  <cp:lastModifiedBy>yy</cp:lastModifiedBy>
  <cp:lastPrinted>2018-01-08T02:01:00Z</cp:lastPrinted>
  <dcterms:modified xsi:type="dcterms:W3CDTF">2022-12-22T01:31:54Z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7E7A08D25F4E4F30BB4AB04CBD6AE06B</vt:lpwstr>
  </property>
</Properties>
</file>