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22" w:rsidRPr="0075276F" w:rsidRDefault="00012F22" w:rsidP="00012F22">
      <w:pPr>
        <w:spacing w:line="580" w:lineRule="exact"/>
        <w:jc w:val="center"/>
        <w:rPr>
          <w:rFonts w:ascii="仿宋_GB2312" w:hAnsi="仿宋"/>
          <w:snapToGrid w:val="0"/>
          <w:color w:val="000000"/>
          <w:szCs w:val="32"/>
        </w:rPr>
      </w:pPr>
      <w:r w:rsidRPr="0075276F">
        <w:rPr>
          <w:rFonts w:ascii="仿宋_GB2312" w:hAnsi="仿宋" w:hint="eastAsia"/>
          <w:bCs/>
          <w:szCs w:val="32"/>
        </w:rPr>
        <w:t>四川省</w:t>
      </w:r>
      <w:r w:rsidRPr="0075276F">
        <w:rPr>
          <w:rFonts w:ascii="仿宋_GB2312" w:hAnsi="仿宋" w:hint="eastAsia"/>
          <w:snapToGrid w:val="0"/>
          <w:color w:val="000000"/>
          <w:szCs w:val="32"/>
        </w:rPr>
        <w:t>卫生和计划生育委员会、四川省财政厅、四川省国土资源厅、四川省水利厅、四川省农业厅、四川省林业厅</w:t>
      </w:r>
    </w:p>
    <w:p w:rsidR="00012F22" w:rsidRDefault="00012F22" w:rsidP="00012F22">
      <w:pPr>
        <w:spacing w:line="580" w:lineRule="exact"/>
        <w:jc w:val="center"/>
        <w:rPr>
          <w:rFonts w:ascii="仿宋_GB2312" w:hAnsi="仿宋"/>
          <w:bCs/>
          <w:sz w:val="30"/>
          <w:szCs w:val="30"/>
        </w:rPr>
      </w:pPr>
    </w:p>
    <w:p w:rsidR="00BF250D" w:rsidRPr="00BF250D" w:rsidRDefault="00BF250D" w:rsidP="00012F22">
      <w:pPr>
        <w:spacing w:line="580" w:lineRule="exact"/>
        <w:jc w:val="center"/>
        <w:rPr>
          <w:rFonts w:ascii="仿宋_GB2312" w:hAnsi="仿宋"/>
          <w:bCs/>
          <w:sz w:val="30"/>
          <w:szCs w:val="30"/>
        </w:rPr>
      </w:pPr>
      <w:r w:rsidRPr="00BF250D">
        <w:rPr>
          <w:rFonts w:ascii="仿宋_GB2312" w:hAnsi="仿宋" w:hint="eastAsia"/>
          <w:szCs w:val="32"/>
        </w:rPr>
        <w:t>川卫发〔2017〕</w:t>
      </w:r>
      <w:r w:rsidR="00A62531">
        <w:rPr>
          <w:rFonts w:ascii="仿宋_GB2312" w:hAnsi="仿宋" w:hint="eastAsia"/>
          <w:szCs w:val="32"/>
        </w:rPr>
        <w:t>127</w:t>
      </w:r>
      <w:r w:rsidRPr="00BF250D">
        <w:rPr>
          <w:rFonts w:ascii="仿宋_GB2312" w:hAnsi="仿宋" w:hint="eastAsia"/>
          <w:szCs w:val="32"/>
        </w:rPr>
        <w:t>号</w:t>
      </w:r>
    </w:p>
    <w:p w:rsidR="00BF250D" w:rsidRDefault="00BF250D" w:rsidP="00012F22">
      <w:pPr>
        <w:spacing w:line="580" w:lineRule="exact"/>
        <w:jc w:val="center"/>
        <w:rPr>
          <w:rFonts w:ascii="仿宋_GB2312" w:hAnsi="仿宋"/>
          <w:bCs/>
          <w:sz w:val="30"/>
          <w:szCs w:val="30"/>
        </w:rPr>
      </w:pPr>
    </w:p>
    <w:p w:rsidR="00012F22" w:rsidRDefault="00012F22" w:rsidP="00012F22">
      <w:pPr>
        <w:spacing w:line="580" w:lineRule="exact"/>
        <w:jc w:val="center"/>
        <w:rPr>
          <w:rFonts w:ascii="方正小标宋简体" w:eastAsia="方正小标宋简体" w:hAnsi="仿宋"/>
          <w:bCs/>
          <w:sz w:val="44"/>
          <w:szCs w:val="44"/>
        </w:rPr>
      </w:pPr>
      <w:r w:rsidRPr="00012F22">
        <w:rPr>
          <w:rFonts w:ascii="方正小标宋简体" w:eastAsia="方正小标宋简体" w:hAnsi="仿宋" w:hint="eastAsia"/>
          <w:bCs/>
          <w:sz w:val="44"/>
          <w:szCs w:val="44"/>
        </w:rPr>
        <w:t>关于印发“十三五”四川省血吸虫病</w:t>
      </w:r>
    </w:p>
    <w:p w:rsidR="00012F22" w:rsidRPr="00012F22" w:rsidRDefault="00012F22" w:rsidP="00012F22">
      <w:pPr>
        <w:spacing w:line="580" w:lineRule="exact"/>
        <w:jc w:val="center"/>
        <w:rPr>
          <w:rFonts w:ascii="方正小标宋简体" w:eastAsia="方正小标宋简体"/>
          <w:sz w:val="44"/>
          <w:szCs w:val="44"/>
        </w:rPr>
      </w:pPr>
      <w:r w:rsidRPr="00012F22">
        <w:rPr>
          <w:rFonts w:ascii="方正小标宋简体" w:eastAsia="方正小标宋简体" w:hAnsi="仿宋" w:hint="eastAsia"/>
          <w:bCs/>
          <w:sz w:val="44"/>
          <w:szCs w:val="44"/>
        </w:rPr>
        <w:t>防治规划的通知</w:t>
      </w:r>
    </w:p>
    <w:p w:rsidR="00012F22" w:rsidRDefault="00012F22" w:rsidP="002109B9">
      <w:pPr>
        <w:spacing w:line="580" w:lineRule="exact"/>
        <w:ind w:firstLineChars="200" w:firstLine="640"/>
        <w:rPr>
          <w:rFonts w:ascii="仿宋_GB2312"/>
          <w:szCs w:val="32"/>
        </w:rPr>
      </w:pPr>
    </w:p>
    <w:p w:rsidR="00012F22" w:rsidRPr="00012F22" w:rsidRDefault="00012F22" w:rsidP="00012F22">
      <w:pPr>
        <w:spacing w:line="580" w:lineRule="exact"/>
        <w:rPr>
          <w:rFonts w:ascii="仿宋_GB2312" w:hAnsi="仿宋"/>
          <w:szCs w:val="32"/>
        </w:rPr>
      </w:pPr>
      <w:r w:rsidRPr="00012F22">
        <w:rPr>
          <w:rFonts w:ascii="仿宋_GB2312" w:hAnsi="仿宋" w:hint="eastAsia"/>
          <w:szCs w:val="32"/>
        </w:rPr>
        <w:t>有关市（州）人民政府，省政府有关部门、有关直属机构，有关单位</w:t>
      </w:r>
      <w:r>
        <w:rPr>
          <w:rFonts w:ascii="仿宋_GB2312" w:hAnsi="仿宋" w:hint="eastAsia"/>
          <w:szCs w:val="32"/>
        </w:rPr>
        <w:t>：</w:t>
      </w:r>
    </w:p>
    <w:p w:rsidR="002109B9" w:rsidRPr="002109B9" w:rsidRDefault="002109B9" w:rsidP="002109B9">
      <w:pPr>
        <w:spacing w:line="580" w:lineRule="exact"/>
        <w:ind w:firstLineChars="200" w:firstLine="640"/>
        <w:rPr>
          <w:rFonts w:ascii="仿宋_GB2312"/>
          <w:szCs w:val="32"/>
        </w:rPr>
      </w:pPr>
      <w:r w:rsidRPr="002109B9">
        <w:rPr>
          <w:rFonts w:ascii="仿宋_GB2312"/>
          <w:szCs w:val="32"/>
        </w:rPr>
        <w:t>为</w:t>
      </w:r>
      <w:r w:rsidRPr="002109B9">
        <w:rPr>
          <w:rFonts w:ascii="仿宋_GB2312" w:hint="eastAsia"/>
          <w:szCs w:val="32"/>
        </w:rPr>
        <w:t>进一步推进全省血吸虫病防治工作</w:t>
      </w:r>
      <w:r w:rsidRPr="002109B9">
        <w:rPr>
          <w:rFonts w:ascii="仿宋_GB2312"/>
          <w:szCs w:val="32"/>
        </w:rPr>
        <w:t>，</w:t>
      </w:r>
      <w:r w:rsidRPr="002109B9">
        <w:rPr>
          <w:rFonts w:ascii="仿宋_GB2312" w:hint="eastAsia"/>
          <w:szCs w:val="32"/>
        </w:rPr>
        <w:t>维护人民群众身体健康，</w:t>
      </w:r>
      <w:r w:rsidRPr="002109B9">
        <w:rPr>
          <w:rFonts w:ascii="仿宋_GB2312"/>
          <w:szCs w:val="32"/>
        </w:rPr>
        <w:t>根据</w:t>
      </w:r>
      <w:r w:rsidRPr="002109B9">
        <w:rPr>
          <w:rFonts w:ascii="仿宋_GB2312" w:hint="eastAsia"/>
          <w:szCs w:val="32"/>
        </w:rPr>
        <w:t>国家卫生计生委、财政部、国土资源部、水利部、农业部、国家林业局《关于印发“十三五”全国血吸虫病防治规划的通知》（国卫疾控发〔</w:t>
      </w:r>
      <w:r w:rsidRPr="002109B9">
        <w:rPr>
          <w:rFonts w:ascii="仿宋_GB2312" w:hAnsi="仿宋" w:hint="eastAsia"/>
          <w:szCs w:val="32"/>
        </w:rPr>
        <w:t>2017〕14</w:t>
      </w:r>
      <w:r w:rsidRPr="002109B9">
        <w:rPr>
          <w:rFonts w:ascii="仿宋_GB2312" w:hint="eastAsia"/>
          <w:szCs w:val="32"/>
        </w:rPr>
        <w:t>号）精神</w:t>
      </w:r>
      <w:r w:rsidRPr="002109B9">
        <w:rPr>
          <w:rFonts w:ascii="仿宋_GB2312"/>
          <w:szCs w:val="32"/>
        </w:rPr>
        <w:t>，结合</w:t>
      </w:r>
      <w:r w:rsidRPr="002109B9">
        <w:rPr>
          <w:rFonts w:ascii="仿宋_GB2312" w:hint="eastAsia"/>
          <w:szCs w:val="32"/>
        </w:rPr>
        <w:t>我省血吸虫病防治工作</w:t>
      </w:r>
      <w:r w:rsidRPr="002109B9">
        <w:rPr>
          <w:rFonts w:ascii="仿宋_GB2312"/>
          <w:szCs w:val="32"/>
        </w:rPr>
        <w:t>实际，</w:t>
      </w:r>
      <w:r w:rsidRPr="002109B9">
        <w:rPr>
          <w:rFonts w:ascii="仿宋_GB2312" w:hAnsi="仿宋" w:hint="eastAsia"/>
          <w:bCs/>
          <w:szCs w:val="32"/>
        </w:rPr>
        <w:t>省</w:t>
      </w:r>
      <w:r w:rsidRPr="002109B9">
        <w:rPr>
          <w:rFonts w:ascii="仿宋_GB2312" w:hAnsi="仿宋" w:hint="eastAsia"/>
          <w:snapToGrid w:val="0"/>
          <w:color w:val="000000"/>
          <w:szCs w:val="32"/>
        </w:rPr>
        <w:t>卫生计生委、财政厅、国土资源厅、水利厅、农业厅、林业厅联合</w:t>
      </w:r>
      <w:r w:rsidRPr="002109B9">
        <w:rPr>
          <w:rFonts w:ascii="仿宋_GB2312"/>
          <w:szCs w:val="32"/>
        </w:rPr>
        <w:t>编制了《</w:t>
      </w:r>
      <w:r w:rsidRPr="002109B9">
        <w:rPr>
          <w:rFonts w:ascii="仿宋_GB2312" w:hint="eastAsia"/>
          <w:szCs w:val="32"/>
        </w:rPr>
        <w:t>“十三五”四川省血吸虫病防治规划</w:t>
      </w:r>
      <w:r w:rsidRPr="002109B9">
        <w:rPr>
          <w:rFonts w:ascii="仿宋_GB2312"/>
          <w:szCs w:val="32"/>
        </w:rPr>
        <w:t>》</w:t>
      </w:r>
      <w:r w:rsidRPr="002109B9">
        <w:rPr>
          <w:rFonts w:ascii="仿宋_GB2312" w:hint="eastAsia"/>
          <w:szCs w:val="32"/>
        </w:rPr>
        <w:t>（可从四川省卫生计生委网站下载）</w:t>
      </w:r>
      <w:r w:rsidRPr="002109B9">
        <w:rPr>
          <w:rFonts w:ascii="仿宋_GB2312"/>
          <w:szCs w:val="32"/>
        </w:rPr>
        <w:t>。</w:t>
      </w:r>
      <w:r w:rsidRPr="002109B9">
        <w:rPr>
          <w:rFonts w:ascii="仿宋_GB2312" w:hint="eastAsia"/>
          <w:szCs w:val="32"/>
        </w:rPr>
        <w:t>经省政府领导同志同意，现印发给你们，请认真贯彻执行。</w:t>
      </w:r>
    </w:p>
    <w:p w:rsidR="002109B9" w:rsidRP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p>
    <w:p w:rsidR="002109B9" w:rsidRP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p>
    <w:p w:rsidR="002109B9" w:rsidRP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p>
    <w:p w:rsidR="002109B9" w:rsidRP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p>
    <w:p w:rsidR="002109B9" w:rsidRP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p>
    <w:p w:rsid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p>
    <w:p w:rsidR="002109B9" w:rsidRPr="002109B9" w:rsidRDefault="002109B9" w:rsidP="002109B9">
      <w:pPr>
        <w:widowControl/>
        <w:snapToGrid w:val="0"/>
        <w:spacing w:before="30" w:line="580" w:lineRule="exact"/>
        <w:ind w:right="100"/>
        <w:jc w:val="center"/>
        <w:outlineLvl w:val="0"/>
        <w:rPr>
          <w:rFonts w:ascii="方正小标宋简体" w:eastAsia="方正小标宋简体"/>
          <w:bCs/>
          <w:sz w:val="44"/>
          <w:szCs w:val="44"/>
        </w:rPr>
      </w:pPr>
      <w:r w:rsidRPr="002109B9">
        <w:rPr>
          <w:rFonts w:ascii="方正小标宋简体" w:eastAsia="方正小标宋简体" w:hint="eastAsia"/>
          <w:bCs/>
          <w:sz w:val="44"/>
          <w:szCs w:val="44"/>
        </w:rPr>
        <w:t>“十三五”</w:t>
      </w:r>
      <w:r w:rsidRPr="002109B9">
        <w:rPr>
          <w:rFonts w:ascii="方正小标宋简体" w:eastAsia="方正小标宋简体" w:hAnsi="黑体" w:hint="eastAsia"/>
          <w:sz w:val="44"/>
          <w:szCs w:val="44"/>
        </w:rPr>
        <w:t>四川省</w:t>
      </w:r>
      <w:r w:rsidRPr="002109B9">
        <w:rPr>
          <w:rFonts w:ascii="方正小标宋简体" w:eastAsia="方正小标宋简体" w:hint="eastAsia"/>
          <w:bCs/>
          <w:sz w:val="44"/>
          <w:szCs w:val="44"/>
        </w:rPr>
        <w:t>血吸虫病防治规划</w:t>
      </w:r>
    </w:p>
    <w:p w:rsidR="002109B9" w:rsidRPr="002109B9" w:rsidRDefault="002109B9" w:rsidP="002109B9">
      <w:pPr>
        <w:spacing w:line="580" w:lineRule="exact"/>
        <w:rPr>
          <w:rFonts w:ascii="黑体" w:eastAsia="黑体" w:hAnsi="宋体"/>
          <w:kern w:val="0"/>
          <w:szCs w:val="32"/>
        </w:rPr>
      </w:pP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为贯彻落实《“十三五”全国血吸虫病防治规划》，加快血吸虫病防治工作进程，保障人民群众身体健康，促进流行区经济社会发展，结合我省实际，制定本规划。</w:t>
      </w:r>
    </w:p>
    <w:p w:rsidR="002109B9" w:rsidRPr="002109B9" w:rsidRDefault="002109B9" w:rsidP="002109B9">
      <w:pPr>
        <w:tabs>
          <w:tab w:val="left" w:pos="7560"/>
        </w:tabs>
        <w:adjustRightInd w:val="0"/>
        <w:snapToGrid w:val="0"/>
        <w:spacing w:line="580" w:lineRule="exact"/>
        <w:ind w:firstLineChars="200" w:firstLine="640"/>
        <w:rPr>
          <w:rFonts w:ascii="黑体" w:eastAsia="黑体"/>
          <w:snapToGrid w:val="0"/>
          <w:color w:val="000000"/>
          <w:kern w:val="0"/>
          <w:szCs w:val="32"/>
        </w:rPr>
      </w:pPr>
      <w:r w:rsidRPr="002109B9">
        <w:rPr>
          <w:rFonts w:ascii="黑体" w:eastAsia="黑体" w:hint="eastAsia"/>
          <w:snapToGrid w:val="0"/>
          <w:color w:val="000000"/>
          <w:kern w:val="0"/>
          <w:szCs w:val="32"/>
        </w:rPr>
        <w:t>一、规划背景</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四川省曾是血吸虫病流行较重的省份之一。</w:t>
      </w:r>
      <w:r w:rsidRPr="002109B9">
        <w:rPr>
          <w:rFonts w:ascii="仿宋_GB2312"/>
          <w:snapToGrid w:val="0"/>
          <w:color w:val="000000"/>
          <w:kern w:val="0"/>
          <w:szCs w:val="32"/>
        </w:rPr>
        <w:t>2004</w:t>
      </w:r>
      <w:r w:rsidRPr="002109B9">
        <w:rPr>
          <w:rFonts w:ascii="仿宋_GB2312" w:hint="eastAsia"/>
          <w:snapToGrid w:val="0"/>
          <w:color w:val="000000"/>
          <w:kern w:val="0"/>
          <w:szCs w:val="32"/>
        </w:rPr>
        <w:t>年以来，全省血防工作在省委、省政府领导下，坚决贯彻执行《全国预防控制血吸虫病中长期规划纲要（</w:t>
      </w:r>
      <w:r w:rsidRPr="002109B9">
        <w:rPr>
          <w:rFonts w:ascii="仿宋_GB2312"/>
          <w:snapToGrid w:val="0"/>
          <w:color w:val="000000"/>
          <w:kern w:val="0"/>
          <w:szCs w:val="32"/>
        </w:rPr>
        <w:t>2004</w:t>
      </w:r>
      <w:r w:rsidR="00ED1946">
        <w:rPr>
          <w:rFonts w:ascii="仿宋_GB2312" w:hint="eastAsia"/>
          <w:snapToGrid w:val="0"/>
          <w:color w:val="000000"/>
          <w:kern w:val="0"/>
          <w:szCs w:val="32"/>
        </w:rPr>
        <w:t>-</w:t>
      </w:r>
      <w:r w:rsidRPr="002109B9">
        <w:rPr>
          <w:rFonts w:ascii="仿宋_GB2312"/>
          <w:snapToGrid w:val="0"/>
          <w:color w:val="000000"/>
          <w:kern w:val="0"/>
          <w:szCs w:val="32"/>
        </w:rPr>
        <w:t>2015</w:t>
      </w:r>
      <w:r w:rsidRPr="002109B9">
        <w:rPr>
          <w:rFonts w:ascii="仿宋_GB2312" w:hint="eastAsia"/>
          <w:snapToGrid w:val="0"/>
          <w:color w:val="000000"/>
          <w:kern w:val="0"/>
          <w:szCs w:val="32"/>
        </w:rPr>
        <w:t>年）》（国办发〔</w:t>
      </w:r>
      <w:r w:rsidRPr="002109B9">
        <w:rPr>
          <w:rFonts w:ascii="仿宋_GB2312"/>
          <w:snapToGrid w:val="0"/>
          <w:color w:val="000000"/>
          <w:kern w:val="0"/>
          <w:szCs w:val="32"/>
        </w:rPr>
        <w:t>2004</w:t>
      </w:r>
      <w:r w:rsidRPr="002109B9">
        <w:rPr>
          <w:rFonts w:ascii="仿宋_GB2312" w:hint="eastAsia"/>
          <w:snapToGrid w:val="0"/>
          <w:color w:val="000000"/>
          <w:kern w:val="0"/>
          <w:szCs w:val="32"/>
        </w:rPr>
        <w:t>〕</w:t>
      </w:r>
      <w:r w:rsidRPr="002109B9">
        <w:rPr>
          <w:rFonts w:ascii="仿宋_GB2312"/>
          <w:snapToGrid w:val="0"/>
          <w:color w:val="000000"/>
          <w:kern w:val="0"/>
          <w:szCs w:val="32"/>
        </w:rPr>
        <w:t>59</w:t>
      </w:r>
      <w:r w:rsidRPr="002109B9">
        <w:rPr>
          <w:rFonts w:ascii="仿宋_GB2312" w:hint="eastAsia"/>
          <w:snapToGrid w:val="0"/>
          <w:color w:val="000000"/>
          <w:kern w:val="0"/>
          <w:szCs w:val="32"/>
        </w:rPr>
        <w:t>号），紧紧围绕血吸虫病传播控制目标和以控制传染源为主的综合防治策略，坚持科学防治、因地制宜、集中力量、重点突破，认真组织实施血吸虫病综合治理重点项目，切实落实各项防治措施，推进血防工作深入发展。</w:t>
      </w:r>
      <w:r w:rsidRPr="002109B9">
        <w:rPr>
          <w:rFonts w:ascii="仿宋_GB2312"/>
          <w:snapToGrid w:val="0"/>
          <w:color w:val="000000"/>
          <w:kern w:val="0"/>
          <w:szCs w:val="32"/>
        </w:rPr>
        <w:t>2004-2015</w:t>
      </w:r>
      <w:r w:rsidRPr="002109B9">
        <w:rPr>
          <w:rFonts w:ascii="仿宋_GB2312" w:hint="eastAsia"/>
          <w:snapToGrid w:val="0"/>
          <w:color w:val="000000"/>
          <w:kern w:val="0"/>
          <w:szCs w:val="32"/>
        </w:rPr>
        <w:t>年，共投入</w:t>
      </w:r>
      <w:r w:rsidRPr="002109B9">
        <w:rPr>
          <w:rFonts w:ascii="仿宋_GB2312"/>
          <w:snapToGrid w:val="0"/>
          <w:color w:val="000000"/>
          <w:kern w:val="0"/>
          <w:szCs w:val="32"/>
        </w:rPr>
        <w:t>342.31</w:t>
      </w:r>
      <w:r w:rsidRPr="002109B9">
        <w:rPr>
          <w:rFonts w:ascii="仿宋_GB2312" w:hint="eastAsia"/>
          <w:snapToGrid w:val="0"/>
          <w:color w:val="000000"/>
          <w:kern w:val="0"/>
          <w:szCs w:val="32"/>
        </w:rPr>
        <w:t>亿元用于血防综合治理建设，累计人群血检</w:t>
      </w:r>
      <w:r w:rsidRPr="002109B9">
        <w:rPr>
          <w:rFonts w:ascii="仿宋_GB2312"/>
          <w:snapToGrid w:val="0"/>
          <w:color w:val="000000"/>
          <w:kern w:val="0"/>
          <w:szCs w:val="32"/>
        </w:rPr>
        <w:t>2468</w:t>
      </w:r>
      <w:r w:rsidRPr="002109B9">
        <w:rPr>
          <w:rFonts w:ascii="仿宋_GB2312" w:hint="eastAsia"/>
          <w:snapToGrid w:val="0"/>
          <w:color w:val="000000"/>
          <w:kern w:val="0"/>
          <w:szCs w:val="32"/>
        </w:rPr>
        <w:t>万人次、粪检</w:t>
      </w:r>
      <w:r w:rsidRPr="002109B9">
        <w:rPr>
          <w:rFonts w:ascii="仿宋_GB2312"/>
          <w:snapToGrid w:val="0"/>
          <w:color w:val="000000"/>
          <w:kern w:val="0"/>
          <w:szCs w:val="32"/>
        </w:rPr>
        <w:t>197</w:t>
      </w:r>
      <w:r w:rsidRPr="002109B9">
        <w:rPr>
          <w:rFonts w:ascii="仿宋_GB2312" w:hint="eastAsia"/>
          <w:snapToGrid w:val="0"/>
          <w:color w:val="000000"/>
          <w:kern w:val="0"/>
          <w:szCs w:val="32"/>
        </w:rPr>
        <w:t>万人次，治疗和扩大化疗</w:t>
      </w:r>
      <w:r w:rsidRPr="002109B9">
        <w:rPr>
          <w:rFonts w:ascii="仿宋_GB2312"/>
          <w:snapToGrid w:val="0"/>
          <w:color w:val="000000"/>
          <w:kern w:val="0"/>
          <w:szCs w:val="32"/>
        </w:rPr>
        <w:t>793</w:t>
      </w:r>
      <w:r w:rsidRPr="002109B9">
        <w:rPr>
          <w:rFonts w:ascii="仿宋_GB2312" w:hint="eastAsia"/>
          <w:snapToGrid w:val="0"/>
          <w:color w:val="000000"/>
          <w:kern w:val="0"/>
          <w:szCs w:val="32"/>
        </w:rPr>
        <w:t>万人次，至</w:t>
      </w:r>
      <w:r w:rsidRPr="002109B9">
        <w:rPr>
          <w:rFonts w:ascii="仿宋_GB2312"/>
          <w:snapToGrid w:val="0"/>
          <w:color w:val="000000"/>
          <w:kern w:val="0"/>
          <w:szCs w:val="32"/>
        </w:rPr>
        <w:t>2015</w:t>
      </w:r>
      <w:r w:rsidRPr="002109B9">
        <w:rPr>
          <w:rFonts w:ascii="仿宋_GB2312" w:hint="eastAsia"/>
          <w:snapToGrid w:val="0"/>
          <w:color w:val="000000"/>
          <w:kern w:val="0"/>
          <w:szCs w:val="32"/>
        </w:rPr>
        <w:t>年，全省连续</w:t>
      </w:r>
      <w:r w:rsidRPr="002109B9">
        <w:rPr>
          <w:rFonts w:ascii="仿宋_GB2312"/>
          <w:snapToGrid w:val="0"/>
          <w:color w:val="000000"/>
          <w:kern w:val="0"/>
          <w:szCs w:val="32"/>
        </w:rPr>
        <w:t>5</w:t>
      </w:r>
      <w:r w:rsidRPr="002109B9">
        <w:rPr>
          <w:rFonts w:ascii="仿宋_GB2312" w:hint="eastAsia"/>
          <w:snapToGrid w:val="0"/>
          <w:color w:val="000000"/>
          <w:kern w:val="0"/>
          <w:szCs w:val="32"/>
        </w:rPr>
        <w:t>年以上未查出血吸虫病病人和病畜，钉螺面积下降</w:t>
      </w:r>
      <w:r w:rsidRPr="002109B9">
        <w:rPr>
          <w:rFonts w:ascii="仿宋_GB2312"/>
          <w:snapToGrid w:val="0"/>
          <w:color w:val="000000"/>
          <w:kern w:val="0"/>
          <w:szCs w:val="32"/>
        </w:rPr>
        <w:t>66.03%</w:t>
      </w:r>
      <w:r w:rsidRPr="002109B9">
        <w:rPr>
          <w:rFonts w:ascii="仿宋_GB2312" w:hint="eastAsia"/>
          <w:snapToGrid w:val="0"/>
          <w:color w:val="000000"/>
          <w:kern w:val="0"/>
          <w:szCs w:val="32"/>
        </w:rPr>
        <w:t>，流行区中小学生和家庭主妇的血防知识知晓率分别达到</w:t>
      </w:r>
      <w:r w:rsidRPr="002109B9">
        <w:rPr>
          <w:rFonts w:ascii="仿宋_GB2312"/>
          <w:snapToGrid w:val="0"/>
          <w:color w:val="000000"/>
          <w:kern w:val="0"/>
          <w:szCs w:val="32"/>
        </w:rPr>
        <w:t>96.85%</w:t>
      </w:r>
      <w:r w:rsidRPr="002109B9">
        <w:rPr>
          <w:rFonts w:ascii="仿宋_GB2312" w:hint="eastAsia"/>
          <w:snapToGrid w:val="0"/>
          <w:color w:val="000000"/>
          <w:kern w:val="0"/>
          <w:szCs w:val="32"/>
        </w:rPr>
        <w:t>和</w:t>
      </w:r>
      <w:r w:rsidRPr="002109B9">
        <w:rPr>
          <w:rFonts w:ascii="仿宋_GB2312"/>
          <w:snapToGrid w:val="0"/>
          <w:color w:val="000000"/>
          <w:kern w:val="0"/>
          <w:szCs w:val="32"/>
        </w:rPr>
        <w:t>95.01%</w:t>
      </w:r>
      <w:r w:rsidRPr="002109B9">
        <w:rPr>
          <w:rFonts w:ascii="仿宋_GB2312" w:hint="eastAsia"/>
          <w:snapToGrid w:val="0"/>
          <w:color w:val="000000"/>
          <w:kern w:val="0"/>
          <w:szCs w:val="32"/>
        </w:rPr>
        <w:t>。</w:t>
      </w:r>
      <w:r w:rsidRPr="002109B9">
        <w:rPr>
          <w:rFonts w:ascii="仿宋_GB2312"/>
          <w:snapToGrid w:val="0"/>
          <w:color w:val="000000"/>
          <w:kern w:val="0"/>
          <w:szCs w:val="32"/>
        </w:rPr>
        <w:t>2009-2015</w:t>
      </w:r>
      <w:r w:rsidRPr="002109B9">
        <w:rPr>
          <w:rFonts w:ascii="仿宋_GB2312" w:hint="eastAsia"/>
          <w:snapToGrid w:val="0"/>
          <w:color w:val="000000"/>
          <w:kern w:val="0"/>
          <w:szCs w:val="32"/>
        </w:rPr>
        <w:t>年期间</w:t>
      </w:r>
      <w:r w:rsidRPr="002109B9">
        <w:rPr>
          <w:rFonts w:ascii="仿宋_GB2312"/>
          <w:snapToGrid w:val="0"/>
          <w:color w:val="000000"/>
          <w:kern w:val="0"/>
          <w:szCs w:val="32"/>
        </w:rPr>
        <w:t>36</w:t>
      </w:r>
      <w:r w:rsidRPr="002109B9">
        <w:rPr>
          <w:rFonts w:ascii="仿宋_GB2312" w:hint="eastAsia"/>
          <w:snapToGrid w:val="0"/>
          <w:color w:val="000000"/>
          <w:kern w:val="0"/>
          <w:szCs w:val="32"/>
        </w:rPr>
        <w:t>个传播控制县（市、区）分期达到了传播阻断标准，加上原来</w:t>
      </w:r>
      <w:r w:rsidRPr="002109B9">
        <w:rPr>
          <w:rFonts w:ascii="仿宋_GB2312"/>
          <w:snapToGrid w:val="0"/>
          <w:color w:val="000000"/>
          <w:kern w:val="0"/>
          <w:szCs w:val="32"/>
        </w:rPr>
        <w:t>27</w:t>
      </w:r>
      <w:r w:rsidRPr="002109B9">
        <w:rPr>
          <w:rFonts w:ascii="仿宋_GB2312" w:hint="eastAsia"/>
          <w:snapToGrid w:val="0"/>
          <w:color w:val="000000"/>
          <w:kern w:val="0"/>
          <w:szCs w:val="32"/>
        </w:rPr>
        <w:t>个已达到传播阻断标准县（市、区），如期实现了全省以县为单位达到国家血吸虫病传播阻断标准的防治目标。</w:t>
      </w:r>
    </w:p>
    <w:p w:rsidR="002109B9" w:rsidRPr="002109B9" w:rsidRDefault="002109B9" w:rsidP="002109B9">
      <w:pPr>
        <w:tabs>
          <w:tab w:val="left" w:pos="7560"/>
        </w:tabs>
        <w:adjustRightInd w:val="0"/>
        <w:snapToGrid w:val="0"/>
        <w:spacing w:line="59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但是，我省血防工作仍存在不少问题和矛盾：一是血吸虫病</w:t>
      </w:r>
      <w:r w:rsidRPr="002109B9">
        <w:rPr>
          <w:rFonts w:ascii="仿宋_GB2312" w:hint="eastAsia"/>
          <w:snapToGrid w:val="0"/>
          <w:color w:val="000000"/>
          <w:kern w:val="0"/>
          <w:szCs w:val="32"/>
        </w:rPr>
        <w:lastRenderedPageBreak/>
        <w:t>流行的自然因素和社会因素未彻底改变，血吸虫病传播的风险仍然存在；二是我省山区和民族地区的血吸虫病流行县，受自然环境和经济发展滞后等因素制约和影响，巩固防治成效难度较大；三是部分地区地方财政投入少，影响防治工作质量和血吸虫病消除工作；四是部分地区血防技术队伍削弱，血防专业技术人员减少，血防能力减弱，与当前消除血吸虫病目标不相适应。</w:t>
      </w:r>
    </w:p>
    <w:p w:rsidR="002109B9" w:rsidRPr="002109B9" w:rsidRDefault="002109B9" w:rsidP="002109B9">
      <w:pPr>
        <w:tabs>
          <w:tab w:val="left" w:pos="7560"/>
        </w:tabs>
        <w:adjustRightInd w:val="0"/>
        <w:snapToGrid w:val="0"/>
        <w:spacing w:line="59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因此，持续推进四川省血吸虫病综合治理，建设敏感高效的监测预警体系，对继续巩固和扩大我省血吸虫病防治成果，保障人民群众身体健康，促进流行区经济社会发展具有重大意义。</w:t>
      </w:r>
    </w:p>
    <w:p w:rsidR="002109B9" w:rsidRPr="002109B9" w:rsidRDefault="002109B9" w:rsidP="002109B9">
      <w:pPr>
        <w:tabs>
          <w:tab w:val="left" w:pos="7560"/>
        </w:tabs>
        <w:adjustRightInd w:val="0"/>
        <w:snapToGrid w:val="0"/>
        <w:spacing w:line="590" w:lineRule="exact"/>
        <w:ind w:firstLineChars="200" w:firstLine="640"/>
        <w:rPr>
          <w:rFonts w:ascii="黑体" w:eastAsia="黑体"/>
          <w:snapToGrid w:val="0"/>
          <w:color w:val="000000"/>
          <w:kern w:val="0"/>
          <w:szCs w:val="32"/>
        </w:rPr>
      </w:pPr>
      <w:r w:rsidRPr="002109B9">
        <w:rPr>
          <w:rFonts w:ascii="黑体" w:eastAsia="黑体" w:hint="eastAsia"/>
          <w:snapToGrid w:val="0"/>
          <w:color w:val="000000"/>
          <w:kern w:val="0"/>
          <w:szCs w:val="32"/>
        </w:rPr>
        <w:t>二、总体要求</w:t>
      </w:r>
    </w:p>
    <w:p w:rsidR="002109B9" w:rsidRPr="002109B9" w:rsidRDefault="002109B9" w:rsidP="002109B9">
      <w:pPr>
        <w:tabs>
          <w:tab w:val="left" w:pos="7560"/>
        </w:tabs>
        <w:adjustRightInd w:val="0"/>
        <w:snapToGrid w:val="0"/>
        <w:spacing w:line="59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（一）指导思想。</w:t>
      </w:r>
      <w:r w:rsidRPr="002109B9">
        <w:rPr>
          <w:rFonts w:ascii="仿宋_GB2312" w:hint="eastAsia"/>
          <w:snapToGrid w:val="0"/>
          <w:color w:val="000000"/>
          <w:kern w:val="0"/>
          <w:szCs w:val="32"/>
        </w:rPr>
        <w:t>坚持“预防为主、标本兼治、分类指导、综合治理、联防联控”的工作方针，遵循“实事求是、尊重规律、科学规划、依法防治”的原则，进一步完善“政府主导、部门合作、社会参与”的工作机制，采取监测预警和血吸虫病综合治理并重的策略，依托以国土资源、水利、农业、林业等综合治理项目，紧密结合社会主义新农村建设和城镇化建设，整体推进确保血防工作可持续发展。</w:t>
      </w:r>
    </w:p>
    <w:p w:rsidR="002109B9" w:rsidRPr="002109B9" w:rsidRDefault="002109B9" w:rsidP="002109B9">
      <w:pPr>
        <w:tabs>
          <w:tab w:val="left" w:pos="7560"/>
        </w:tabs>
        <w:adjustRightInd w:val="0"/>
        <w:snapToGrid w:val="0"/>
        <w:spacing w:line="59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（二）防治目标。</w:t>
      </w:r>
      <w:r w:rsidRPr="002109B9">
        <w:rPr>
          <w:rFonts w:ascii="仿宋_GB2312" w:hint="eastAsia"/>
          <w:snapToGrid w:val="0"/>
          <w:color w:val="000000"/>
          <w:kern w:val="0"/>
          <w:szCs w:val="32"/>
        </w:rPr>
        <w:t>到</w:t>
      </w:r>
      <w:r w:rsidRPr="002109B9">
        <w:rPr>
          <w:rFonts w:ascii="仿宋_GB2312"/>
          <w:snapToGrid w:val="0"/>
          <w:color w:val="000000"/>
          <w:kern w:val="0"/>
          <w:szCs w:val="32"/>
        </w:rPr>
        <w:t>2020</w:t>
      </w:r>
      <w:r w:rsidRPr="002109B9">
        <w:rPr>
          <w:rFonts w:ascii="仿宋_GB2312" w:hint="eastAsia"/>
          <w:snapToGrid w:val="0"/>
          <w:color w:val="000000"/>
          <w:kern w:val="0"/>
          <w:szCs w:val="32"/>
        </w:rPr>
        <w:t>年底，全省11个市（州）的</w:t>
      </w:r>
      <w:r w:rsidRPr="002109B9">
        <w:rPr>
          <w:rFonts w:ascii="仿宋_GB2312"/>
          <w:snapToGrid w:val="0"/>
          <w:color w:val="000000"/>
          <w:kern w:val="0"/>
          <w:szCs w:val="32"/>
        </w:rPr>
        <w:t>63</w:t>
      </w:r>
      <w:r w:rsidRPr="002109B9">
        <w:rPr>
          <w:rFonts w:ascii="仿宋_GB2312" w:hint="eastAsia"/>
          <w:snapToGrid w:val="0"/>
          <w:color w:val="000000"/>
          <w:kern w:val="0"/>
          <w:szCs w:val="32"/>
        </w:rPr>
        <w:t>个流行县（市、区）中除中江县、芦山县和普格县外的</w:t>
      </w:r>
      <w:r w:rsidRPr="002109B9">
        <w:rPr>
          <w:rFonts w:ascii="仿宋_GB2312"/>
          <w:snapToGrid w:val="0"/>
          <w:color w:val="000000"/>
          <w:kern w:val="0"/>
          <w:szCs w:val="32"/>
        </w:rPr>
        <w:t>60</w:t>
      </w:r>
      <w:r w:rsidRPr="002109B9">
        <w:rPr>
          <w:rFonts w:ascii="仿宋_GB2312" w:hint="eastAsia"/>
          <w:snapToGrid w:val="0"/>
          <w:color w:val="000000"/>
          <w:kern w:val="0"/>
          <w:szCs w:val="32"/>
        </w:rPr>
        <w:t>个县达到消除血吸虫病标准，中江县、芦山县和普格县继续巩固传播阻断成果。</w:t>
      </w:r>
    </w:p>
    <w:p w:rsidR="002109B9" w:rsidRPr="002109B9" w:rsidRDefault="002109B9" w:rsidP="002109B9">
      <w:pPr>
        <w:tabs>
          <w:tab w:val="left" w:pos="7560"/>
        </w:tabs>
        <w:adjustRightInd w:val="0"/>
        <w:snapToGrid w:val="0"/>
        <w:spacing w:line="59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（三）工作指标。</w:t>
      </w:r>
      <w:r w:rsidRPr="002109B9">
        <w:rPr>
          <w:rFonts w:ascii="仿宋_GB2312" w:hint="eastAsia"/>
          <w:snapToGrid w:val="0"/>
          <w:color w:val="000000"/>
          <w:kern w:val="0"/>
          <w:szCs w:val="32"/>
        </w:rPr>
        <w:t>为确保实现上述目标，到</w:t>
      </w:r>
      <w:r w:rsidRPr="002109B9">
        <w:rPr>
          <w:rFonts w:ascii="仿宋_GB2312"/>
          <w:snapToGrid w:val="0"/>
          <w:color w:val="000000"/>
          <w:kern w:val="0"/>
          <w:szCs w:val="32"/>
        </w:rPr>
        <w:t>2020</w:t>
      </w:r>
      <w:r w:rsidRPr="002109B9">
        <w:rPr>
          <w:rFonts w:ascii="仿宋_GB2312" w:hint="eastAsia"/>
          <w:snapToGrid w:val="0"/>
          <w:color w:val="000000"/>
          <w:kern w:val="0"/>
          <w:szCs w:val="32"/>
        </w:rPr>
        <w:t>年应完成以下主要工作指标。</w:t>
      </w:r>
    </w:p>
    <w:tbl>
      <w:tblPr>
        <w:tblW w:w="0" w:type="auto"/>
        <w:jc w:val="center"/>
        <w:tblInd w:w="-512" w:type="dxa"/>
        <w:tblLayout w:type="fixed"/>
        <w:tblLook w:val="0000"/>
      </w:tblPr>
      <w:tblGrid>
        <w:gridCol w:w="3457"/>
        <w:gridCol w:w="1711"/>
        <w:gridCol w:w="2064"/>
      </w:tblGrid>
      <w:tr w:rsidR="002109B9" w:rsidRPr="002109B9" w:rsidTr="00D55D7D">
        <w:trPr>
          <w:trHeight w:hRule="exact" w:val="510"/>
          <w:jc w:val="center"/>
        </w:trPr>
        <w:tc>
          <w:tcPr>
            <w:tcW w:w="3457"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楷体_GB2312" w:eastAsia="楷体_GB2312"/>
                <w:bCs/>
                <w:kern w:val="0"/>
                <w:sz w:val="24"/>
              </w:rPr>
            </w:pPr>
            <w:r w:rsidRPr="002109B9">
              <w:rPr>
                <w:rFonts w:ascii="楷体_GB2312" w:eastAsia="楷体_GB2312" w:hint="eastAsia"/>
                <w:bCs/>
                <w:kern w:val="0"/>
                <w:sz w:val="24"/>
              </w:rPr>
              <w:lastRenderedPageBreak/>
              <w:t>工作指标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center"/>
              <w:rPr>
                <w:rFonts w:ascii="楷体_GB2312" w:eastAsia="楷体_GB2312"/>
                <w:bCs/>
                <w:kern w:val="0"/>
                <w:sz w:val="24"/>
              </w:rPr>
            </w:pPr>
            <w:r w:rsidRPr="002109B9">
              <w:rPr>
                <w:rFonts w:ascii="楷体_GB2312" w:eastAsia="楷体_GB2312" w:hint="eastAsia"/>
                <w:bCs/>
                <w:kern w:val="0"/>
                <w:sz w:val="24"/>
              </w:rPr>
              <w:t>2015年基数</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center"/>
              <w:rPr>
                <w:rFonts w:ascii="楷体_GB2312" w:eastAsia="楷体_GB2312"/>
                <w:bCs/>
                <w:kern w:val="0"/>
                <w:sz w:val="24"/>
              </w:rPr>
            </w:pPr>
            <w:r w:rsidRPr="002109B9">
              <w:rPr>
                <w:rFonts w:ascii="楷体_GB2312" w:eastAsia="楷体_GB2312" w:hint="eastAsia"/>
                <w:bCs/>
                <w:kern w:val="0"/>
                <w:sz w:val="24"/>
              </w:rPr>
              <w:t>2020年目标</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1、人群血吸虫病筛查率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hint="eastAsia"/>
                <w:sz w:val="24"/>
              </w:rPr>
              <w:t>78</w:t>
            </w:r>
            <w:r w:rsidRPr="002109B9">
              <w:rPr>
                <w:rFonts w:ascii="仿宋_GB2312"/>
                <w:sz w:val="24"/>
              </w:rPr>
              <w:t>%</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90%</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2、家畜血吸虫病筛查率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71%</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w:t>
            </w:r>
            <w:r w:rsidRPr="002109B9">
              <w:rPr>
                <w:rFonts w:ascii="仿宋_GB2312" w:hint="eastAsia"/>
                <w:kern w:val="0"/>
                <w:sz w:val="24"/>
              </w:rPr>
              <w:t>0</w:t>
            </w:r>
            <w:r w:rsidRPr="002109B9">
              <w:rPr>
                <w:rFonts w:ascii="仿宋_GB2312"/>
                <w:kern w:val="0"/>
                <w:sz w:val="24"/>
              </w:rPr>
              <w:t>%</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3、疫点处置率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hint="eastAsia"/>
                <w:sz w:val="24"/>
              </w:rPr>
              <w:t>88</w:t>
            </w:r>
            <w:r w:rsidRPr="002109B9">
              <w:rPr>
                <w:rFonts w:ascii="仿宋_GB2312"/>
                <w:sz w:val="24"/>
              </w:rPr>
              <w:t>%</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100%</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4、家畜圈养率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61%</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w:t>
            </w:r>
            <w:r w:rsidRPr="002109B9">
              <w:rPr>
                <w:rFonts w:ascii="仿宋_GB2312" w:hint="eastAsia"/>
                <w:kern w:val="0"/>
                <w:sz w:val="24"/>
              </w:rPr>
              <w:t>0</w:t>
            </w:r>
            <w:r w:rsidRPr="002109B9">
              <w:rPr>
                <w:rFonts w:ascii="仿宋_GB2312"/>
                <w:kern w:val="0"/>
                <w:sz w:val="24"/>
              </w:rPr>
              <w:t>%</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5、有螺地带禁牧率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86%</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100%</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6、有螺河道治理率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68%</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90%</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7、抑螺防病林覆盖率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87%</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95%</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8、药物灭螺覆盖率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60%</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90%</w:t>
            </w:r>
          </w:p>
        </w:tc>
      </w:tr>
      <w:tr w:rsidR="002109B9" w:rsidRPr="002109B9" w:rsidTr="00D55D7D">
        <w:trPr>
          <w:trHeight w:hRule="exact" w:val="510"/>
          <w:jc w:val="center"/>
        </w:trPr>
        <w:tc>
          <w:tcPr>
            <w:tcW w:w="3457" w:type="dxa"/>
            <w:tcBorders>
              <w:top w:val="nil"/>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9、无害化卫生厕所普及率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59%</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85%</w:t>
            </w:r>
          </w:p>
        </w:tc>
      </w:tr>
      <w:tr w:rsidR="002109B9" w:rsidRPr="002109B9" w:rsidTr="00D55D7D">
        <w:trPr>
          <w:trHeight w:hRule="exact" w:val="510"/>
          <w:jc w:val="center"/>
        </w:trPr>
        <w:tc>
          <w:tcPr>
            <w:tcW w:w="3457"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10、中小学生防治知识知晓率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91%</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95%</w:t>
            </w:r>
          </w:p>
        </w:tc>
      </w:tr>
      <w:tr w:rsidR="002109B9" w:rsidRPr="002109B9" w:rsidTr="00D55D7D">
        <w:trPr>
          <w:trHeight w:hRule="exact" w:val="510"/>
          <w:jc w:val="center"/>
        </w:trPr>
        <w:tc>
          <w:tcPr>
            <w:tcW w:w="3457"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jc w:val="left"/>
              <w:rPr>
                <w:rFonts w:ascii="仿宋_GB2312"/>
                <w:kern w:val="0"/>
                <w:sz w:val="24"/>
              </w:rPr>
            </w:pPr>
            <w:r w:rsidRPr="002109B9">
              <w:rPr>
                <w:rFonts w:ascii="仿宋_GB2312" w:hint="eastAsia"/>
                <w:kern w:val="0"/>
                <w:sz w:val="24"/>
              </w:rPr>
              <w:t>11、监测任务完成率</w:t>
            </w:r>
          </w:p>
        </w:tc>
        <w:tc>
          <w:tcPr>
            <w:tcW w:w="1711"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sz w:val="24"/>
              </w:rPr>
              <w:t>79%</w:t>
            </w:r>
          </w:p>
        </w:tc>
        <w:tc>
          <w:tcPr>
            <w:tcW w:w="2064" w:type="dxa"/>
            <w:tcBorders>
              <w:top w:val="single" w:sz="4" w:space="0" w:color="auto"/>
              <w:left w:val="single" w:sz="4" w:space="0" w:color="auto"/>
              <w:bottom w:val="single" w:sz="4" w:space="0" w:color="auto"/>
              <w:right w:val="single" w:sz="4" w:space="0" w:color="auto"/>
            </w:tcBorders>
            <w:vAlign w:val="center"/>
          </w:tcPr>
          <w:p w:rsidR="002109B9" w:rsidRPr="002109B9" w:rsidRDefault="002109B9" w:rsidP="002109B9">
            <w:pPr>
              <w:spacing w:line="580" w:lineRule="exact"/>
              <w:ind w:firstLineChars="200" w:firstLine="480"/>
              <w:jc w:val="center"/>
              <w:rPr>
                <w:rFonts w:ascii="仿宋_GB2312"/>
                <w:kern w:val="0"/>
                <w:sz w:val="24"/>
              </w:rPr>
            </w:pPr>
            <w:r w:rsidRPr="002109B9">
              <w:rPr>
                <w:rFonts w:ascii="仿宋_GB2312"/>
                <w:kern w:val="0"/>
                <w:sz w:val="24"/>
              </w:rPr>
              <w:t>95%</w:t>
            </w:r>
          </w:p>
        </w:tc>
      </w:tr>
    </w:tbl>
    <w:p w:rsidR="002109B9" w:rsidRPr="002109B9" w:rsidRDefault="002109B9" w:rsidP="002109B9">
      <w:pPr>
        <w:tabs>
          <w:tab w:val="left" w:pos="7560"/>
        </w:tabs>
        <w:adjustRightInd w:val="0"/>
        <w:snapToGrid w:val="0"/>
        <w:spacing w:line="580" w:lineRule="exact"/>
        <w:ind w:firstLineChars="200" w:firstLine="640"/>
        <w:rPr>
          <w:rFonts w:ascii="黑体" w:eastAsia="黑体"/>
          <w:snapToGrid w:val="0"/>
          <w:color w:val="000000"/>
          <w:kern w:val="0"/>
          <w:szCs w:val="32"/>
        </w:rPr>
      </w:pPr>
      <w:r w:rsidRPr="002109B9">
        <w:rPr>
          <w:rFonts w:ascii="黑体" w:eastAsia="黑体" w:hint="eastAsia"/>
          <w:snapToGrid w:val="0"/>
          <w:color w:val="000000"/>
          <w:kern w:val="0"/>
          <w:szCs w:val="32"/>
        </w:rPr>
        <w:t>三、防治思路</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坚持以传染源控制为主的综合防治策略，通过卫生计生、农业、水利、国土资源、林业等血防综合治理项目，彻底改造钉螺孳生环境、压缩钉螺面积，强化对流动人口、家畜传染源和螺情的监测，对重点人群开展健康教育，有效切断人畜感染血吸虫，实现消除血吸虫病目标。</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（一）2004年前已达到传播阻断标准的地区。</w:t>
      </w:r>
      <w:r w:rsidRPr="002109B9">
        <w:rPr>
          <w:rFonts w:ascii="仿宋_GB2312" w:hint="eastAsia"/>
          <w:snapToGrid w:val="0"/>
          <w:color w:val="000000"/>
          <w:kern w:val="0"/>
          <w:szCs w:val="32"/>
        </w:rPr>
        <w:t>要进一步加强流动人口和家畜的病情监测，采取有效防治措施，及时发现和消除传染源，同时，对原疫区、毗邻流行区及水资源工程辖区内原有钉螺水系相通的各类环境及钉螺可疑孳生环境进行监测，及时发现、处置残存或输入性钉螺，防止疫情的回升和扩散，巩固传播阻断成果，</w:t>
      </w:r>
      <w:r w:rsidRPr="002109B9">
        <w:rPr>
          <w:rFonts w:ascii="仿宋_GB2312"/>
          <w:snapToGrid w:val="0"/>
          <w:color w:val="000000"/>
          <w:kern w:val="0"/>
          <w:szCs w:val="32"/>
        </w:rPr>
        <w:t>27</w:t>
      </w:r>
      <w:r w:rsidRPr="002109B9">
        <w:rPr>
          <w:rFonts w:ascii="仿宋_GB2312" w:hint="eastAsia"/>
          <w:snapToGrid w:val="0"/>
          <w:color w:val="000000"/>
          <w:kern w:val="0"/>
          <w:szCs w:val="32"/>
        </w:rPr>
        <w:t>个县全部达到消除血吸虫病标准。</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（二）</w:t>
      </w:r>
      <w:r w:rsidRPr="002109B9">
        <w:rPr>
          <w:rFonts w:ascii="楷体_GB2312" w:eastAsia="楷体_GB2312"/>
          <w:snapToGrid w:val="0"/>
          <w:color w:val="000000"/>
          <w:kern w:val="0"/>
          <w:szCs w:val="32"/>
        </w:rPr>
        <w:t>2004</w:t>
      </w:r>
      <w:r w:rsidRPr="002109B9">
        <w:rPr>
          <w:rFonts w:ascii="楷体_GB2312" w:eastAsia="楷体_GB2312" w:hint="eastAsia"/>
          <w:snapToGrid w:val="0"/>
          <w:color w:val="000000"/>
          <w:kern w:val="0"/>
          <w:szCs w:val="32"/>
        </w:rPr>
        <w:t>年后达到传播阻断标准的地区。</w:t>
      </w:r>
      <w:r w:rsidRPr="002109B9">
        <w:rPr>
          <w:rFonts w:ascii="仿宋_GB2312" w:hint="eastAsia"/>
          <w:snapToGrid w:val="0"/>
          <w:color w:val="000000"/>
          <w:kern w:val="0"/>
          <w:szCs w:val="32"/>
        </w:rPr>
        <w:t>要切实加强对流</w:t>
      </w:r>
      <w:r w:rsidRPr="002109B9">
        <w:rPr>
          <w:rFonts w:ascii="仿宋_GB2312" w:hint="eastAsia"/>
          <w:snapToGrid w:val="0"/>
          <w:color w:val="000000"/>
          <w:kern w:val="0"/>
          <w:szCs w:val="32"/>
        </w:rPr>
        <w:lastRenderedPageBreak/>
        <w:t>动人口和家畜传染源以及对钉螺分布及感染情况的监测，及时发现、处置输入性传染源，有针对性地开展人畜同步查治、健康教育和易感环境药物灭螺等防治措施，进一步强化有螺地带禁牧、以机代牛、家畜圈养、改水改厕等传染源控制措施，结合水利、农业、林业和国土资源整治等工程项目，切实加大环境改造灭螺措施力度，彻底改造钉螺孳生环境，防止疫情的回升和扩散。在巩固传播阻断成果基础上，</w:t>
      </w:r>
      <w:r w:rsidRPr="002109B9">
        <w:rPr>
          <w:rFonts w:ascii="仿宋_GB2312"/>
          <w:snapToGrid w:val="0"/>
          <w:color w:val="000000"/>
          <w:kern w:val="0"/>
          <w:szCs w:val="32"/>
        </w:rPr>
        <w:t>2020</w:t>
      </w:r>
      <w:r w:rsidRPr="002109B9">
        <w:rPr>
          <w:rFonts w:ascii="仿宋_GB2312" w:hint="eastAsia"/>
          <w:snapToGrid w:val="0"/>
          <w:color w:val="000000"/>
          <w:kern w:val="0"/>
          <w:szCs w:val="32"/>
        </w:rPr>
        <w:t>年</w:t>
      </w:r>
      <w:r w:rsidRPr="002109B9">
        <w:rPr>
          <w:rFonts w:ascii="仿宋_GB2312"/>
          <w:snapToGrid w:val="0"/>
          <w:color w:val="000000"/>
          <w:kern w:val="0"/>
          <w:szCs w:val="32"/>
        </w:rPr>
        <w:t>33</w:t>
      </w:r>
      <w:r w:rsidRPr="002109B9">
        <w:rPr>
          <w:rFonts w:ascii="仿宋_GB2312" w:hint="eastAsia"/>
          <w:snapToGrid w:val="0"/>
          <w:color w:val="000000"/>
          <w:kern w:val="0"/>
          <w:szCs w:val="32"/>
        </w:rPr>
        <w:t>个县达到消除血吸虫病标准。中江、芦山、普格三个县继续巩固传播阻断成果。</w:t>
      </w:r>
    </w:p>
    <w:p w:rsidR="002109B9" w:rsidRPr="002109B9" w:rsidRDefault="002109B9" w:rsidP="002109B9">
      <w:pPr>
        <w:tabs>
          <w:tab w:val="left" w:pos="7560"/>
        </w:tabs>
        <w:adjustRightInd w:val="0"/>
        <w:snapToGrid w:val="0"/>
        <w:spacing w:line="580" w:lineRule="exact"/>
        <w:ind w:firstLineChars="200" w:firstLine="640"/>
        <w:rPr>
          <w:rFonts w:ascii="黑体" w:eastAsia="黑体"/>
          <w:snapToGrid w:val="0"/>
          <w:color w:val="000000"/>
          <w:kern w:val="0"/>
          <w:szCs w:val="32"/>
        </w:rPr>
      </w:pPr>
      <w:r w:rsidRPr="002109B9">
        <w:rPr>
          <w:rFonts w:ascii="黑体" w:eastAsia="黑体" w:hint="eastAsia"/>
          <w:snapToGrid w:val="0"/>
          <w:color w:val="000000"/>
          <w:kern w:val="0"/>
          <w:szCs w:val="32"/>
        </w:rPr>
        <w:t>四、主要任务</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根据防治措施和部门职责的不同，卫生计生、农业、水利、林业和国土资源等部门，在争取对口国家部（委、局）的支持下，结合本部门职责，根据本规划防治目标、范围、策略的要求，编制各专项规划，制订年度工作实施方案。</w:t>
      </w:r>
    </w:p>
    <w:p w:rsidR="002109B9" w:rsidRPr="002109B9" w:rsidRDefault="002109B9" w:rsidP="002109B9">
      <w:pPr>
        <w:tabs>
          <w:tab w:val="left" w:pos="7560"/>
        </w:tabs>
        <w:adjustRightInd w:val="0"/>
        <w:snapToGrid w:val="0"/>
        <w:spacing w:line="580" w:lineRule="exact"/>
        <w:ind w:firstLineChars="200" w:firstLine="640"/>
        <w:rPr>
          <w:rFonts w:ascii="楷体_GB2312" w:eastAsia="楷体_GB2312"/>
          <w:snapToGrid w:val="0"/>
          <w:color w:val="000000"/>
          <w:kern w:val="0"/>
          <w:szCs w:val="32"/>
        </w:rPr>
      </w:pPr>
      <w:r w:rsidRPr="002109B9">
        <w:rPr>
          <w:rFonts w:ascii="楷体_GB2312" w:eastAsia="楷体_GB2312" w:hint="eastAsia"/>
          <w:snapToGrid w:val="0"/>
          <w:color w:val="000000"/>
          <w:kern w:val="0"/>
          <w:szCs w:val="32"/>
        </w:rPr>
        <w:t>（一）卫生计生部门。</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继续实施查治病、查灭螺、建无害化厕所、健康教育、机构能力建设、督导评估等工作，同时加强人员培训和疫情监测。</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1.</w:t>
      </w:r>
      <w:r w:rsidRPr="002109B9">
        <w:rPr>
          <w:rFonts w:ascii="仿宋_GB2312" w:hint="eastAsia"/>
          <w:snapToGrid w:val="0"/>
          <w:color w:val="000000"/>
          <w:kern w:val="0"/>
          <w:szCs w:val="32"/>
        </w:rPr>
        <w:t>疫情控制。开展人群血吸虫病查治，强化病例追踪调查和管理；按照属地管理原则，加强对流动人群血吸虫病查治工作。加强对晚期血吸虫病病人的救治和管理工作，提高晚血病人的生活质量。积极做好人畜同步查治工作。</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2</w:t>
      </w:r>
      <w:r w:rsidRPr="002109B9">
        <w:rPr>
          <w:rFonts w:ascii="仿宋_GB2312" w:hint="eastAsia"/>
          <w:snapToGrid w:val="0"/>
          <w:color w:val="000000"/>
          <w:kern w:val="0"/>
          <w:szCs w:val="32"/>
        </w:rPr>
        <w:t>.钉螺调查与控制。开展钉螺调查，及早发现新出现的钉螺孳生地，及时确定易感环境。如发现感染性螺点，及时采用药物灭螺、结合小型环境改造工程，控制钉螺扩散，减少人畜感染。</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3</w:t>
      </w:r>
      <w:r w:rsidRPr="002109B9">
        <w:rPr>
          <w:rFonts w:ascii="仿宋_GB2312" w:hint="eastAsia"/>
          <w:snapToGrid w:val="0"/>
          <w:color w:val="000000"/>
          <w:kern w:val="0"/>
          <w:szCs w:val="32"/>
        </w:rPr>
        <w:t>.无害化厕所建设。实施农村环境卫生工程，结合爱国卫生</w:t>
      </w:r>
      <w:r w:rsidRPr="002109B9">
        <w:rPr>
          <w:rFonts w:ascii="仿宋_GB2312" w:hint="eastAsia"/>
          <w:snapToGrid w:val="0"/>
          <w:color w:val="000000"/>
          <w:kern w:val="0"/>
          <w:szCs w:val="32"/>
        </w:rPr>
        <w:lastRenderedPageBreak/>
        <w:t>运动和新农村建设，在流行村普及卫生厕所，确保疫区无害化卫生厕所建设全覆盖。</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4</w:t>
      </w:r>
      <w:r w:rsidRPr="002109B9">
        <w:rPr>
          <w:rFonts w:ascii="仿宋_GB2312" w:hint="eastAsia"/>
          <w:snapToGrid w:val="0"/>
          <w:color w:val="000000"/>
          <w:kern w:val="0"/>
          <w:szCs w:val="32"/>
        </w:rPr>
        <w:t>.疫情监测。建立健全预警监测体系，充分利用现有疾病预防控制信息系统及监测点资料，及时做好预警预测工作，提高预警预报和应急处置能力，为有针对性地采取预防控制措施提供决策依据。通过全面的监测工作，发现我省血吸虫病传播的风险点（疫点），及时组织力量，开展风险点（疫点）处置，防止血吸虫病死灰复燃，保护人民群众的身心健康。</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5</w:t>
      </w:r>
      <w:r w:rsidRPr="002109B9">
        <w:rPr>
          <w:rFonts w:ascii="仿宋_GB2312" w:hint="eastAsia"/>
          <w:snapToGrid w:val="0"/>
          <w:color w:val="000000"/>
          <w:kern w:val="0"/>
          <w:szCs w:val="32"/>
        </w:rPr>
        <w:t>.健康教育。继续坚持学校血防健康教育工作，进一步加强流动人口尤其是外出务工人员、水利工程人员等重点人群血防知识的宣传教育工作。积极探索创新针对重点人群的血防健康教育和行为干预方式，加强对县、乡两级政府和村民委员会干部、中小学教师培训，提高广大人民群众的自我防护意识和能力，主动参与血防工作。</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6.</w:t>
      </w:r>
      <w:r w:rsidRPr="002109B9">
        <w:rPr>
          <w:rFonts w:ascii="仿宋_GB2312" w:hint="eastAsia"/>
          <w:snapToGrid w:val="0"/>
          <w:color w:val="000000"/>
          <w:kern w:val="0"/>
          <w:szCs w:val="32"/>
        </w:rPr>
        <w:t>能力建设。建立和完善适合我省实际的可持续发展的血吸虫病预防控制模式，提高预防控制和突发疫情应急处理能力。加强省级血防专业机构技术指导和培训能力建设，提升疫情应急处理能力；提高市县级血防专业机构技术指导能力，以及县级血防专业机构现场工作能力。加强项目县专业人员的规范化专业技术培训，进一步规范防治工作。建立一支与现阶段血防工作相适应的血防专业队伍。</w:t>
      </w:r>
    </w:p>
    <w:p w:rsidR="002109B9" w:rsidRPr="002109B9" w:rsidRDefault="002109B9" w:rsidP="002109B9">
      <w:pPr>
        <w:tabs>
          <w:tab w:val="left" w:pos="7560"/>
        </w:tabs>
        <w:adjustRightInd w:val="0"/>
        <w:snapToGrid w:val="0"/>
        <w:spacing w:line="580" w:lineRule="exact"/>
        <w:ind w:firstLineChars="200" w:firstLine="640"/>
        <w:rPr>
          <w:rFonts w:ascii="楷体_GB2312" w:eastAsia="楷体_GB2312"/>
          <w:snapToGrid w:val="0"/>
          <w:color w:val="000000"/>
          <w:kern w:val="0"/>
          <w:szCs w:val="32"/>
        </w:rPr>
      </w:pPr>
      <w:r w:rsidRPr="002109B9">
        <w:rPr>
          <w:rFonts w:ascii="楷体_GB2312" w:eastAsia="楷体_GB2312" w:hint="eastAsia"/>
          <w:snapToGrid w:val="0"/>
          <w:color w:val="000000"/>
          <w:kern w:val="0"/>
          <w:szCs w:val="32"/>
        </w:rPr>
        <w:t>（二）农业部门。</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1.家畜传染源的管理。家畜查治：加大家畜查治病力度，从源头减少家畜感染数量。家畜圈养：通过标准化圈舍改造、种草</w:t>
      </w:r>
      <w:r w:rsidRPr="002109B9">
        <w:rPr>
          <w:rFonts w:ascii="仿宋_GB2312" w:hint="eastAsia"/>
          <w:snapToGrid w:val="0"/>
          <w:color w:val="000000"/>
          <w:kern w:val="0"/>
          <w:szCs w:val="32"/>
        </w:rPr>
        <w:lastRenderedPageBreak/>
        <w:t>养畜或者发展圈养基地等措施，大力推行以牛羊为重点的家畜舍饲圈养。以机代牛：大力推进农业耕作机械化，逐步淘汰耕牛，以机耕代替牛耕，消除潜在传染源。调整养殖结构：大力发展非易感畜禽养殖，减少易感动物饲养量。</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2.家畜粪便无害化处理。结合生态家园及农村能源开发建设，改造畜栏、户厕和新建沼气池，杀灭粪便中血吸虫虫卵。</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3.农业灭螺工程。结合农业种植结构调整，在有钉螺分布的低洼沼泽地带（非基本农田）开挖池塘，大力发展优质健康水产养殖业，实行蓄水灭螺；对有钉螺分布的农、毛渠等采取沟渠硬化措施，对现有钉螺分布的水田实施水改旱，因地制宜地种植旱作或经济作物，改变钉螺孳生环境，消灭钉螺。</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4.能力建设。结合动物防疫体系建设，健全完善家畜血防实验室能力建设，健全省、市、县三级疫情监测体系，完善家畜疫情监测点，掌握疫情动态，逐步实现数据的网络和信息化管理。加大家畜血防工作人员技术培训力度。</w:t>
      </w:r>
    </w:p>
    <w:p w:rsidR="002109B9" w:rsidRPr="002109B9" w:rsidRDefault="002109B9" w:rsidP="002109B9">
      <w:pPr>
        <w:tabs>
          <w:tab w:val="left" w:pos="7560"/>
        </w:tabs>
        <w:adjustRightInd w:val="0"/>
        <w:snapToGrid w:val="0"/>
        <w:spacing w:line="580" w:lineRule="exact"/>
        <w:ind w:firstLineChars="200" w:firstLine="640"/>
        <w:rPr>
          <w:rFonts w:ascii="楷体_GB2312" w:eastAsia="楷体_GB2312"/>
          <w:snapToGrid w:val="0"/>
          <w:color w:val="000000"/>
          <w:kern w:val="0"/>
          <w:szCs w:val="32"/>
        </w:rPr>
      </w:pPr>
      <w:r w:rsidRPr="002109B9">
        <w:rPr>
          <w:rFonts w:ascii="楷体_GB2312" w:eastAsia="楷体_GB2312" w:hint="eastAsia"/>
          <w:snapToGrid w:val="0"/>
          <w:color w:val="000000"/>
          <w:kern w:val="0"/>
          <w:szCs w:val="32"/>
        </w:rPr>
        <w:t>（三）水利部门。</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继续实施河流治理、农村饮水安全、灌区改造等项目工程建设，加强水利行业血防项目。</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1.</w:t>
      </w:r>
      <w:r w:rsidRPr="002109B9">
        <w:rPr>
          <w:rFonts w:ascii="仿宋_GB2312" w:hint="eastAsia"/>
          <w:snapToGrid w:val="0"/>
          <w:color w:val="000000"/>
          <w:kern w:val="0"/>
          <w:szCs w:val="32"/>
        </w:rPr>
        <w:t>河流治理工程。对历史疫情和螺情严重、影响范围大且对血防具有较大作用的中小河流列入治理规划，因地制宜采取硬化护坡、抬洲降滩、改造涵闸等工程措施，改变钉螺滋生环境，控制钉螺沿水系扩散。</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2.</w:t>
      </w:r>
      <w:r w:rsidRPr="002109B9">
        <w:rPr>
          <w:rFonts w:ascii="仿宋_GB2312" w:hint="eastAsia"/>
          <w:snapToGrid w:val="0"/>
          <w:color w:val="000000"/>
          <w:kern w:val="0"/>
          <w:szCs w:val="32"/>
        </w:rPr>
        <w:t>小、微型水利工程。以硬化囤水田坎，改造山平塘，新建蓄水池，整治石河堰为重点，将钉螺孳生环境治理纳入微型水利</w:t>
      </w:r>
      <w:r w:rsidRPr="002109B9">
        <w:rPr>
          <w:rFonts w:ascii="仿宋_GB2312" w:hint="eastAsia"/>
          <w:snapToGrid w:val="0"/>
          <w:color w:val="000000"/>
          <w:kern w:val="0"/>
          <w:szCs w:val="32"/>
        </w:rPr>
        <w:lastRenderedPageBreak/>
        <w:t>工程建设内容，一并设计，同步实施。</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3.</w:t>
      </w:r>
      <w:r w:rsidRPr="002109B9">
        <w:rPr>
          <w:rFonts w:ascii="仿宋_GB2312" w:hint="eastAsia"/>
          <w:snapToGrid w:val="0"/>
          <w:color w:val="000000"/>
          <w:kern w:val="0"/>
          <w:szCs w:val="32"/>
        </w:rPr>
        <w:t>农村饮水安全工程。结合农村饮水安全工程巩固提升规划，优先安排疫区工程建设项目，进一步提高疫区群众饮水安全保障能力。</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4.</w:t>
      </w:r>
      <w:r w:rsidRPr="002109B9">
        <w:rPr>
          <w:rFonts w:ascii="仿宋_GB2312" w:hint="eastAsia"/>
          <w:snapToGrid w:val="0"/>
          <w:color w:val="000000"/>
          <w:kern w:val="0"/>
          <w:szCs w:val="32"/>
        </w:rPr>
        <w:t>灌区改造。将血防疫区灌区列入续建配套与节水改造等规划，通过渠道硬化、设置沉螺池等工程措施对灌区内有螺环境进行整治，彻底消除钉螺孳生环境。</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5</w:t>
      </w:r>
      <w:r w:rsidRPr="002109B9">
        <w:rPr>
          <w:rFonts w:ascii="仿宋_GB2312" w:hint="eastAsia"/>
          <w:snapToGrid w:val="0"/>
          <w:color w:val="000000"/>
          <w:kern w:val="0"/>
          <w:szCs w:val="32"/>
        </w:rPr>
        <w:t>.水利行业血防项目。根据流行区水利单位血吸虫病流行程度以及所在地钉螺孳生情况，采取建设血防安全区（带）、净化区域环境、加强血防监测和健康教育等综合措施，改善水利行业人员生产生活环境，提高防病意识和自我防护能力。</w:t>
      </w:r>
    </w:p>
    <w:p w:rsidR="002109B9" w:rsidRPr="002109B9" w:rsidRDefault="002109B9" w:rsidP="009B5C94">
      <w:pPr>
        <w:tabs>
          <w:tab w:val="left" w:pos="7560"/>
        </w:tabs>
        <w:adjustRightInd w:val="0"/>
        <w:snapToGrid w:val="0"/>
        <w:spacing w:line="580" w:lineRule="exact"/>
        <w:ind w:firstLineChars="200" w:firstLine="640"/>
        <w:rPr>
          <w:rFonts w:ascii="楷体_GB2312" w:eastAsia="楷体_GB2312"/>
          <w:snapToGrid w:val="0"/>
          <w:color w:val="000000"/>
          <w:kern w:val="0"/>
          <w:szCs w:val="32"/>
        </w:rPr>
      </w:pPr>
      <w:r w:rsidRPr="002109B9">
        <w:rPr>
          <w:rFonts w:ascii="楷体_GB2312" w:eastAsia="楷体_GB2312" w:hint="eastAsia"/>
          <w:snapToGrid w:val="0"/>
          <w:color w:val="000000"/>
          <w:kern w:val="0"/>
          <w:szCs w:val="32"/>
        </w:rPr>
        <w:t>（四）林业部门。</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继续做好抑螺防病林</w:t>
      </w:r>
      <w:r w:rsidR="0097336C" w:rsidRPr="002109B9">
        <w:rPr>
          <w:rFonts w:ascii="仿宋_GB2312" w:hint="eastAsia"/>
          <w:snapToGrid w:val="0"/>
          <w:color w:val="000000"/>
          <w:kern w:val="0"/>
          <w:szCs w:val="32"/>
        </w:rPr>
        <w:t>营造</w:t>
      </w:r>
      <w:r w:rsidRPr="002109B9">
        <w:rPr>
          <w:rFonts w:ascii="仿宋_GB2312" w:hint="eastAsia"/>
          <w:snapToGrid w:val="0"/>
          <w:color w:val="000000"/>
          <w:kern w:val="0"/>
          <w:szCs w:val="32"/>
        </w:rPr>
        <w:t>、抑螺成效提升改造、生态环境监测。</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1.抑螺防病林营造。建立以抑螺防病林为核心的林业血吸虫病防治生态安全体系。在重点流行区适宜造林的地带，继续营造抑螺防病林，采用抑螺植物材料、构建林农复合系统、设立隔离措施等，改变钉螺孳生环境。</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2.抑螺成效提升改造。对在流行区配套营造的其他各类防护林，采取沟渠清理、补植抑螺植物等措施，对已有林分进行抑螺成效提升改造。</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3.生态环境监测。在适宜钉螺孳生的区域加强生态环境监测与预警。开展林业防治血吸虫病生态防控试点，探索改善生态环境、抑制钉螺孳生的防控模式。结合湿地保护与恢复工程、野生</w:t>
      </w:r>
      <w:r w:rsidRPr="002109B9">
        <w:rPr>
          <w:rFonts w:ascii="仿宋_GB2312" w:hint="eastAsia"/>
          <w:snapToGrid w:val="0"/>
          <w:color w:val="000000"/>
          <w:kern w:val="0"/>
          <w:szCs w:val="32"/>
        </w:rPr>
        <w:lastRenderedPageBreak/>
        <w:t>动植物保护及自然保护区建设工程，加强螺情监测，建设预防钉螺扩散设施。</w:t>
      </w:r>
    </w:p>
    <w:p w:rsidR="002109B9" w:rsidRPr="002109B9" w:rsidRDefault="002109B9" w:rsidP="002109B9">
      <w:pPr>
        <w:tabs>
          <w:tab w:val="left" w:pos="7560"/>
        </w:tabs>
        <w:adjustRightInd w:val="0"/>
        <w:snapToGrid w:val="0"/>
        <w:spacing w:line="580" w:lineRule="exact"/>
        <w:ind w:firstLineChars="200" w:firstLine="640"/>
        <w:rPr>
          <w:rFonts w:ascii="楷体_GB2312" w:eastAsia="楷体_GB2312"/>
          <w:snapToGrid w:val="0"/>
          <w:color w:val="000000"/>
          <w:kern w:val="0"/>
          <w:szCs w:val="32"/>
        </w:rPr>
      </w:pPr>
      <w:r w:rsidRPr="002109B9">
        <w:rPr>
          <w:rFonts w:ascii="楷体_GB2312" w:eastAsia="楷体_GB2312" w:hint="eastAsia"/>
          <w:snapToGrid w:val="0"/>
          <w:color w:val="000000"/>
          <w:kern w:val="0"/>
          <w:szCs w:val="32"/>
        </w:rPr>
        <w:t>（五）国土资源部门。</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1</w:t>
      </w:r>
      <w:r w:rsidRPr="002109B9">
        <w:rPr>
          <w:rFonts w:ascii="仿宋_GB2312" w:hint="eastAsia"/>
          <w:snapToGrid w:val="0"/>
          <w:color w:val="000000"/>
          <w:kern w:val="0"/>
          <w:szCs w:val="32"/>
        </w:rPr>
        <w:t>.土地整治工程。在开展可行性论证和规划设计编制时，充分考虑血防工程特点，实施土地整治项目，进一步压缩钉螺面积。</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2</w:t>
      </w:r>
      <w:r w:rsidRPr="002109B9">
        <w:rPr>
          <w:rFonts w:ascii="仿宋_GB2312" w:hint="eastAsia"/>
          <w:snapToGrid w:val="0"/>
          <w:color w:val="000000"/>
          <w:kern w:val="0"/>
          <w:szCs w:val="32"/>
        </w:rPr>
        <w:t>.土地生态保护与整治。加强农田生态环境保护，结合土地整理和修筑梯田、改良土壤、营造农田防护林等综合措施，改变钉螺孳生环境，改善农田生态环境。</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3</w:t>
      </w:r>
      <w:r w:rsidRPr="002109B9">
        <w:rPr>
          <w:rFonts w:ascii="仿宋_GB2312" w:hint="eastAsia"/>
          <w:snapToGrid w:val="0"/>
          <w:color w:val="000000"/>
          <w:kern w:val="0"/>
          <w:szCs w:val="32"/>
        </w:rPr>
        <w:t>.田间渠系涝渍改良工程。在有螺地带，对有螺沟渠纵横交错、药物灭螺难以解决的地方，结合田间渠系涝渍改良工程，进行环境改造，彻底改变钉螺孳生环境。</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snapToGrid w:val="0"/>
          <w:color w:val="000000"/>
          <w:kern w:val="0"/>
          <w:szCs w:val="32"/>
        </w:rPr>
        <w:t>4</w:t>
      </w:r>
      <w:r w:rsidRPr="002109B9">
        <w:rPr>
          <w:rFonts w:ascii="仿宋_GB2312" w:hint="eastAsia"/>
          <w:snapToGrid w:val="0"/>
          <w:color w:val="000000"/>
          <w:kern w:val="0"/>
          <w:szCs w:val="32"/>
        </w:rPr>
        <w:t>.迁村腾地工程。对一些疫情严重、村庄附近螺情复杂、钉螺难以消灭的地方，优先安排迁村腾地工程，选择安全地带建村。</w:t>
      </w:r>
    </w:p>
    <w:p w:rsidR="002109B9" w:rsidRPr="002109B9" w:rsidRDefault="002109B9" w:rsidP="002109B9">
      <w:pPr>
        <w:tabs>
          <w:tab w:val="left" w:pos="7560"/>
        </w:tabs>
        <w:adjustRightInd w:val="0"/>
        <w:snapToGrid w:val="0"/>
        <w:spacing w:line="580" w:lineRule="exact"/>
        <w:ind w:firstLineChars="200" w:firstLine="640"/>
        <w:rPr>
          <w:rFonts w:ascii="楷体_GB2312" w:eastAsia="楷体_GB2312"/>
          <w:snapToGrid w:val="0"/>
          <w:color w:val="000000"/>
          <w:kern w:val="0"/>
          <w:szCs w:val="32"/>
        </w:rPr>
      </w:pPr>
      <w:r w:rsidRPr="002109B9">
        <w:rPr>
          <w:rFonts w:ascii="楷体_GB2312" w:eastAsia="楷体_GB2312" w:hint="eastAsia"/>
          <w:snapToGrid w:val="0"/>
          <w:color w:val="000000"/>
          <w:kern w:val="0"/>
          <w:szCs w:val="32"/>
        </w:rPr>
        <w:t>（六）其他相关部门。</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教育部门科学安排血吸虫病防治教学内容，做好中小学生预防血吸虫病的健康教育，防止发生血吸虫病。</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新闻出版广电部门在流行区开展公益性血吸虫病健康教育活动，广泛宣传血吸虫病防治知识和防治政策，提高居民自我防护意识和参与血吸虫病防治工作的积极性。</w:t>
      </w:r>
    </w:p>
    <w:p w:rsidR="002109B9" w:rsidRPr="002109B9" w:rsidRDefault="002109B9" w:rsidP="002109B9">
      <w:pPr>
        <w:tabs>
          <w:tab w:val="left" w:pos="7560"/>
        </w:tabs>
        <w:adjustRightInd w:val="0"/>
        <w:snapToGrid w:val="0"/>
        <w:spacing w:line="580" w:lineRule="exact"/>
        <w:ind w:firstLineChars="200" w:firstLine="640"/>
        <w:rPr>
          <w:rFonts w:ascii="黑体" w:eastAsia="黑体"/>
          <w:snapToGrid w:val="0"/>
          <w:color w:val="000000"/>
          <w:kern w:val="0"/>
          <w:szCs w:val="32"/>
        </w:rPr>
      </w:pPr>
      <w:r w:rsidRPr="002109B9">
        <w:rPr>
          <w:rFonts w:ascii="黑体" w:eastAsia="黑体" w:hint="eastAsia"/>
          <w:snapToGrid w:val="0"/>
          <w:color w:val="000000"/>
          <w:kern w:val="0"/>
          <w:szCs w:val="32"/>
        </w:rPr>
        <w:t>五、保障措施</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（一）组织保障。</w:t>
      </w:r>
      <w:r w:rsidRPr="002109B9">
        <w:rPr>
          <w:rFonts w:ascii="仿宋_GB2312" w:hint="eastAsia"/>
          <w:snapToGrid w:val="0"/>
          <w:color w:val="000000"/>
          <w:kern w:val="0"/>
          <w:szCs w:val="32"/>
        </w:rPr>
        <w:t>各地要将血防工作作为重大民生问题，纳入国民经济和社会发展总体规划，健全领导机制，落实防治责任，充分发挥血吸虫病防治领导小组的作用，协调解决防治工作中的重大问题，切实落实项目各项防治措施。</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lastRenderedPageBreak/>
        <w:t>各有关部门要按照要求，建立统一、协调、高效的血防工作机制，省重大传染病防治工作委员会办公室（简称省重传办）负责协调有关部门研究制定预防和控制血吸虫病的政策，相关部门要认真履行各自承担的职责和任务，坚持齐抓共管、密切配合，形成整体合力。继续坚持“春查秋会”制度、疫情通报制度和血防工作述职制度，建立部门年度工作报告制度、联防联控制度。</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对群众免费提供抗血吸虫病的基本药品，在有条件的地区，对流行区经济困难群众给予适当减免血吸虫病治疗费用，并对符合医疗救助条件的晚期血吸虫病病人实行医疗救助。继续鼓励重点防治地区推行以机代牛，对符合条件的开展以机代牛工作所需的中小型农机具给予补贴。各地要以行政村为单位，切实落实有螺地带禁牧工作，组织村民在生产生活区开展义务灭螺活动。有条件的地方还可积极探索引入市场机制，由符合条件的机构组织实施。</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（二）经费保障。</w:t>
      </w:r>
      <w:r w:rsidRPr="002109B9">
        <w:rPr>
          <w:rFonts w:ascii="仿宋_GB2312" w:hint="eastAsia"/>
          <w:snapToGrid w:val="0"/>
          <w:color w:val="000000"/>
          <w:kern w:val="0"/>
          <w:szCs w:val="32"/>
        </w:rPr>
        <w:t>按照分级负担的原则，流行区各级人民政府负责落实本地区血防综合治理工程项目经费，纳入政府财政预算予以安排。省、市级人民政府对县、乡两级开展血防工作给予专项经费补助，县、乡级人民政府合理安排血防工作日常运转所需经费。各地要切实加强对资金的监管和审计，保证专款专用，提高使用效益。同时，广泛动员和争取企业、个人和社会力量提供资金和物质支持。</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（三）技术保障。</w:t>
      </w:r>
      <w:r w:rsidRPr="002109B9">
        <w:rPr>
          <w:rFonts w:ascii="仿宋_GB2312" w:hint="eastAsia"/>
          <w:snapToGrid w:val="0"/>
          <w:color w:val="000000"/>
          <w:kern w:val="0"/>
          <w:szCs w:val="32"/>
        </w:rPr>
        <w:t>积极争取国家重点科研项目。将符合条件的血防科研项目列入省重点科研计划，组织多部门、跨学科的联合攻关。结合我省实际，加强我省山丘型血吸虫病防治策略、方</w:t>
      </w:r>
      <w:r w:rsidRPr="002109B9">
        <w:rPr>
          <w:rFonts w:ascii="仿宋_GB2312" w:hint="eastAsia"/>
          <w:snapToGrid w:val="0"/>
          <w:color w:val="000000"/>
          <w:kern w:val="0"/>
          <w:szCs w:val="32"/>
        </w:rPr>
        <w:lastRenderedPageBreak/>
        <w:t>法的研究和适宜应用技术的推广。积极开展国际合作与交流，引进国外先进技术，推广应用先进适用科技成果。及时转化血防适宜技术，实施精准血防工作。</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（四）机构和人员保障。</w:t>
      </w:r>
      <w:r w:rsidRPr="002109B9">
        <w:rPr>
          <w:rFonts w:ascii="仿宋_GB2312" w:hint="eastAsia"/>
          <w:snapToGrid w:val="0"/>
          <w:color w:val="000000"/>
          <w:kern w:val="0"/>
          <w:szCs w:val="32"/>
        </w:rPr>
        <w:t>强化血吸虫病防治能力，加强基础设施建设，完善血吸虫病监测体系。重点加强基层血吸虫病防治队伍建设和能力建设，开展专业人员素质教育和技术培训，建立完善与防治任务相适应的专业队伍。加强卫生、农业等血吸虫病检测实验室网络建设，提高检测能力。要按照国家有关规定保障血吸虫病防治机构专业人员的工资待遇和职业健康，保障血吸虫病防治工作正常开展。</w:t>
      </w:r>
    </w:p>
    <w:p w:rsidR="002109B9" w:rsidRPr="002109B9" w:rsidRDefault="002109B9" w:rsidP="002109B9">
      <w:pPr>
        <w:tabs>
          <w:tab w:val="left" w:pos="7560"/>
        </w:tabs>
        <w:adjustRightInd w:val="0"/>
        <w:snapToGrid w:val="0"/>
        <w:spacing w:line="580" w:lineRule="exact"/>
        <w:ind w:firstLineChars="200" w:firstLine="640"/>
        <w:rPr>
          <w:rFonts w:ascii="黑体" w:eastAsia="黑体"/>
          <w:snapToGrid w:val="0"/>
          <w:color w:val="000000"/>
          <w:kern w:val="0"/>
          <w:szCs w:val="32"/>
        </w:rPr>
      </w:pPr>
      <w:r w:rsidRPr="002109B9">
        <w:rPr>
          <w:rFonts w:ascii="黑体" w:eastAsia="黑体" w:hint="eastAsia"/>
          <w:snapToGrid w:val="0"/>
          <w:color w:val="000000"/>
          <w:kern w:val="0"/>
          <w:szCs w:val="32"/>
        </w:rPr>
        <w:t>六、监督考核</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（一）落实工作责任。</w:t>
      </w:r>
      <w:r w:rsidRPr="002109B9">
        <w:rPr>
          <w:rFonts w:ascii="仿宋_GB2312" w:hint="eastAsia"/>
          <w:snapToGrid w:val="0"/>
          <w:color w:val="000000"/>
          <w:kern w:val="0"/>
          <w:szCs w:val="32"/>
        </w:rPr>
        <w:t>各地各有关部门要根据本规划的要求，结合实际，制订本地区、本部门的实施计划和方案。各有关地区要将防治工作目标和任务层层分解，签订目标责任书。对没有实现防治工作目标的，要追究有关责任人的行政责任。</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（二）加强监督检查。</w:t>
      </w:r>
      <w:r w:rsidRPr="002109B9">
        <w:rPr>
          <w:rFonts w:ascii="仿宋_GB2312" w:hint="eastAsia"/>
          <w:snapToGrid w:val="0"/>
          <w:color w:val="000000"/>
          <w:kern w:val="0"/>
          <w:szCs w:val="32"/>
        </w:rPr>
        <w:t>各地各有关部门要实行工作报告制度和规划目标考评制度。定期报告本地区、本部门履行血防工作职责情况；各级血防工作领导机构要组织有关部门，制订详细的监督检查方案，定期开展自查和抽查，对工作内容和实施效果进行综合考核评价。要及时将监督检查的情况反馈被检查单位，通报同级血防工作领导小组有关成员单位，报告同级人民政府和上级血防工作领导小组办公室。省重传办将不定期组织检查和通报各有关地区和有关部门执行规划情况。</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r w:rsidRPr="002109B9">
        <w:rPr>
          <w:rFonts w:ascii="楷体_GB2312" w:eastAsia="楷体_GB2312" w:hint="eastAsia"/>
          <w:snapToGrid w:val="0"/>
          <w:color w:val="000000"/>
          <w:kern w:val="0"/>
          <w:szCs w:val="32"/>
        </w:rPr>
        <w:t>（三）强化考核评估。</w:t>
      </w:r>
      <w:r w:rsidRPr="002109B9">
        <w:rPr>
          <w:rFonts w:ascii="仿宋_GB2312" w:hint="eastAsia"/>
          <w:snapToGrid w:val="0"/>
          <w:color w:val="000000"/>
          <w:kern w:val="0"/>
          <w:szCs w:val="32"/>
        </w:rPr>
        <w:t>建立重点项目的综合评估体系，及时</w:t>
      </w:r>
      <w:r w:rsidRPr="002109B9">
        <w:rPr>
          <w:rFonts w:ascii="仿宋_GB2312" w:hint="eastAsia"/>
          <w:snapToGrid w:val="0"/>
          <w:color w:val="000000"/>
          <w:kern w:val="0"/>
          <w:szCs w:val="32"/>
        </w:rPr>
        <w:lastRenderedPageBreak/>
        <w:t>掌握血吸虫病疫情动态变化和新的防治策略实施情况与效果。省重</w:t>
      </w:r>
      <w:r w:rsidR="0071652C">
        <w:rPr>
          <w:rFonts w:ascii="仿宋_GB2312" w:hint="eastAsia"/>
          <w:snapToGrid w:val="0"/>
          <w:color w:val="000000"/>
          <w:kern w:val="0"/>
          <w:szCs w:val="32"/>
        </w:rPr>
        <w:t>传</w:t>
      </w:r>
      <w:r w:rsidRPr="002109B9">
        <w:rPr>
          <w:rFonts w:ascii="仿宋_GB2312" w:hint="eastAsia"/>
          <w:snapToGrid w:val="0"/>
          <w:color w:val="000000"/>
          <w:kern w:val="0"/>
          <w:szCs w:val="32"/>
        </w:rPr>
        <w:t>办组织相关部门，在每年对重点项目工作进行现场督导检查外，分别于</w:t>
      </w:r>
      <w:r w:rsidRPr="002109B9">
        <w:rPr>
          <w:rFonts w:ascii="仿宋_GB2312"/>
          <w:snapToGrid w:val="0"/>
          <w:color w:val="000000"/>
          <w:kern w:val="0"/>
          <w:szCs w:val="32"/>
        </w:rPr>
        <w:t>2018</w:t>
      </w:r>
      <w:r w:rsidRPr="002109B9">
        <w:rPr>
          <w:rFonts w:ascii="仿宋_GB2312" w:hint="eastAsia"/>
          <w:snapToGrid w:val="0"/>
          <w:color w:val="000000"/>
          <w:kern w:val="0"/>
          <w:szCs w:val="32"/>
        </w:rPr>
        <w:t>年、</w:t>
      </w:r>
      <w:r w:rsidRPr="002109B9">
        <w:rPr>
          <w:rFonts w:ascii="仿宋_GB2312"/>
          <w:snapToGrid w:val="0"/>
          <w:color w:val="000000"/>
          <w:kern w:val="0"/>
          <w:szCs w:val="32"/>
        </w:rPr>
        <w:t>2020</w:t>
      </w:r>
      <w:r w:rsidRPr="002109B9">
        <w:rPr>
          <w:rFonts w:ascii="仿宋_GB2312" w:hint="eastAsia"/>
          <w:snapToGrid w:val="0"/>
          <w:color w:val="000000"/>
          <w:kern w:val="0"/>
          <w:szCs w:val="32"/>
        </w:rPr>
        <w:t>年开展规划实施情况中期考评和终期评估。</w:t>
      </w:r>
    </w:p>
    <w:p w:rsidR="002109B9" w:rsidRPr="002109B9" w:rsidRDefault="002109B9" w:rsidP="002109B9">
      <w:pPr>
        <w:tabs>
          <w:tab w:val="left" w:pos="7560"/>
        </w:tabs>
        <w:adjustRightInd w:val="0"/>
        <w:snapToGrid w:val="0"/>
        <w:spacing w:line="580" w:lineRule="exact"/>
        <w:ind w:firstLineChars="200" w:firstLine="640"/>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ind w:firstLineChars="200" w:firstLine="640"/>
        <w:rPr>
          <w:rFonts w:ascii="仿宋_GB2312"/>
          <w:snapToGrid w:val="0"/>
          <w:color w:val="000000"/>
          <w:kern w:val="0"/>
          <w:szCs w:val="32"/>
        </w:rPr>
      </w:pPr>
      <w:r w:rsidRPr="002109B9">
        <w:rPr>
          <w:rFonts w:ascii="仿宋_GB2312" w:hint="eastAsia"/>
          <w:snapToGrid w:val="0"/>
          <w:color w:val="000000"/>
          <w:kern w:val="0"/>
          <w:szCs w:val="32"/>
        </w:rPr>
        <w:t>附件：“十三五”四川省血吸虫病防治规划预期目标表</w:t>
      </w: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p w:rsidR="002109B9" w:rsidRPr="002109B9" w:rsidRDefault="002109B9" w:rsidP="002109B9">
      <w:pPr>
        <w:snapToGrid w:val="0"/>
        <w:spacing w:line="580" w:lineRule="exact"/>
        <w:jc w:val="left"/>
        <w:rPr>
          <w:rFonts w:ascii="黑体" w:eastAsia="黑体"/>
          <w:szCs w:val="32"/>
        </w:rPr>
      </w:pPr>
      <w:r w:rsidRPr="002109B9">
        <w:rPr>
          <w:rFonts w:ascii="黑体" w:eastAsia="黑体" w:hint="eastAsia"/>
          <w:szCs w:val="32"/>
        </w:rPr>
        <w:lastRenderedPageBreak/>
        <w:t>附件</w:t>
      </w:r>
    </w:p>
    <w:p w:rsidR="002109B9" w:rsidRPr="002109B9" w:rsidRDefault="002109B9" w:rsidP="002109B9">
      <w:pPr>
        <w:snapToGrid w:val="0"/>
        <w:spacing w:line="580" w:lineRule="exact"/>
        <w:jc w:val="left"/>
        <w:rPr>
          <w:rFonts w:ascii="黑体" w:eastAsia="黑体"/>
          <w:szCs w:val="32"/>
        </w:rPr>
      </w:pPr>
    </w:p>
    <w:p w:rsidR="002109B9" w:rsidRPr="002109B9" w:rsidRDefault="002109B9" w:rsidP="002109B9">
      <w:pPr>
        <w:tabs>
          <w:tab w:val="left" w:pos="7560"/>
        </w:tabs>
        <w:adjustRightInd w:val="0"/>
        <w:snapToGrid w:val="0"/>
        <w:spacing w:line="580" w:lineRule="exact"/>
        <w:jc w:val="center"/>
        <w:rPr>
          <w:rFonts w:ascii="方正小标宋简体" w:eastAsia="方正小标宋简体"/>
          <w:snapToGrid w:val="0"/>
          <w:color w:val="000000"/>
          <w:kern w:val="0"/>
          <w:sz w:val="44"/>
          <w:szCs w:val="44"/>
        </w:rPr>
      </w:pPr>
      <w:r w:rsidRPr="002109B9">
        <w:rPr>
          <w:rFonts w:ascii="方正小标宋简体" w:eastAsia="方正小标宋简体" w:hint="eastAsia"/>
          <w:snapToGrid w:val="0"/>
          <w:color w:val="000000"/>
          <w:kern w:val="0"/>
          <w:sz w:val="44"/>
          <w:szCs w:val="44"/>
        </w:rPr>
        <w:t>“十三五”四川省血吸虫病防治规划</w:t>
      </w:r>
    </w:p>
    <w:p w:rsidR="002109B9" w:rsidRPr="002109B9" w:rsidRDefault="002109B9" w:rsidP="002109B9">
      <w:pPr>
        <w:tabs>
          <w:tab w:val="left" w:pos="7560"/>
        </w:tabs>
        <w:adjustRightInd w:val="0"/>
        <w:snapToGrid w:val="0"/>
        <w:spacing w:line="580" w:lineRule="exact"/>
        <w:jc w:val="center"/>
        <w:rPr>
          <w:rFonts w:ascii="方正小标宋简体" w:eastAsia="方正小标宋简体"/>
          <w:snapToGrid w:val="0"/>
          <w:color w:val="000000"/>
          <w:kern w:val="0"/>
          <w:sz w:val="44"/>
          <w:szCs w:val="44"/>
        </w:rPr>
      </w:pPr>
      <w:r w:rsidRPr="002109B9">
        <w:rPr>
          <w:rFonts w:ascii="方正小标宋简体" w:eastAsia="方正小标宋简体" w:hint="eastAsia"/>
          <w:snapToGrid w:val="0"/>
          <w:color w:val="000000"/>
          <w:kern w:val="0"/>
          <w:sz w:val="44"/>
          <w:szCs w:val="44"/>
        </w:rPr>
        <w:t>预期目标表</w:t>
      </w:r>
    </w:p>
    <w:p w:rsidR="002109B9" w:rsidRPr="002109B9" w:rsidRDefault="002109B9" w:rsidP="002109B9">
      <w:pPr>
        <w:snapToGrid w:val="0"/>
        <w:spacing w:line="580" w:lineRule="exact"/>
        <w:jc w:val="left"/>
        <w:rPr>
          <w:rFonts w:ascii="黑体"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1359"/>
        <w:gridCol w:w="926"/>
        <w:gridCol w:w="3685"/>
        <w:gridCol w:w="1227"/>
        <w:gridCol w:w="1197"/>
        <w:gridCol w:w="701"/>
      </w:tblGrid>
      <w:tr w:rsidR="002109B9" w:rsidRPr="002109B9" w:rsidTr="00D55D7D">
        <w:trPr>
          <w:trHeight w:val="674"/>
          <w:jc w:val="center"/>
        </w:trPr>
        <w:tc>
          <w:tcPr>
            <w:tcW w:w="786"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达标年度</w:t>
            </w:r>
          </w:p>
        </w:tc>
        <w:tc>
          <w:tcPr>
            <w:tcW w:w="1359"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地区分类</w:t>
            </w:r>
          </w:p>
        </w:tc>
        <w:tc>
          <w:tcPr>
            <w:tcW w:w="926"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评估</w:t>
            </w:r>
          </w:p>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方式</w:t>
            </w:r>
          </w:p>
        </w:tc>
        <w:tc>
          <w:tcPr>
            <w:tcW w:w="3685"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消除血吸虫病县（市、区）</w:t>
            </w:r>
          </w:p>
        </w:tc>
        <w:tc>
          <w:tcPr>
            <w:tcW w:w="1227"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一般地区小计</w:t>
            </w:r>
          </w:p>
        </w:tc>
        <w:tc>
          <w:tcPr>
            <w:tcW w:w="1197"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重点地区小计</w:t>
            </w:r>
          </w:p>
        </w:tc>
        <w:tc>
          <w:tcPr>
            <w:tcW w:w="701" w:type="dxa"/>
            <w:vAlign w:val="center"/>
          </w:tcPr>
          <w:p w:rsidR="002109B9" w:rsidRPr="002109B9" w:rsidRDefault="002109B9" w:rsidP="002109B9">
            <w:pPr>
              <w:adjustRightInd w:val="0"/>
              <w:snapToGrid w:val="0"/>
              <w:spacing w:line="340" w:lineRule="exact"/>
              <w:jc w:val="center"/>
              <w:rPr>
                <w:rFonts w:ascii="仿宋_GB2312" w:hAnsi="宋体"/>
                <w:b/>
                <w:bCs/>
                <w:sz w:val="24"/>
              </w:rPr>
            </w:pPr>
            <w:r w:rsidRPr="002109B9">
              <w:rPr>
                <w:rFonts w:ascii="仿宋_GB2312" w:hAnsi="宋体" w:hint="eastAsia"/>
                <w:b/>
                <w:bCs/>
                <w:sz w:val="24"/>
              </w:rPr>
              <w:t>合计</w:t>
            </w:r>
          </w:p>
        </w:tc>
      </w:tr>
      <w:tr w:rsidR="002109B9" w:rsidRPr="002109B9" w:rsidTr="00D55D7D">
        <w:trPr>
          <w:trHeight w:val="563"/>
          <w:jc w:val="center"/>
        </w:trPr>
        <w:tc>
          <w:tcPr>
            <w:tcW w:w="786" w:type="dxa"/>
            <w:vMerge w:val="restart"/>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2016</w:t>
            </w: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一般地区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评估</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成都市高新区、锦江区、青羊区、金牛区、武侯区、成华区、宜宾市翠屏区</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7</w:t>
            </w: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701" w:type="dxa"/>
            <w:vMerge w:val="restart"/>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13</w:t>
            </w:r>
          </w:p>
        </w:tc>
      </w:tr>
      <w:tr w:rsidR="002109B9" w:rsidRPr="002109B9" w:rsidTr="00D55D7D">
        <w:trPr>
          <w:trHeight w:val="565"/>
          <w:jc w:val="center"/>
        </w:trPr>
        <w:tc>
          <w:tcPr>
            <w:tcW w:w="786" w:type="dxa"/>
            <w:vMerge/>
            <w:vAlign w:val="center"/>
          </w:tcPr>
          <w:p w:rsidR="002109B9" w:rsidRPr="002109B9" w:rsidRDefault="002109B9" w:rsidP="002109B9">
            <w:pPr>
              <w:adjustRightInd w:val="0"/>
              <w:snapToGrid w:val="0"/>
              <w:spacing w:line="580" w:lineRule="exact"/>
              <w:ind w:firstLineChars="200" w:firstLine="480"/>
              <w:jc w:val="center"/>
              <w:rPr>
                <w:rFonts w:ascii="仿宋_GB2312" w:hAnsi="宋体"/>
                <w:bCs/>
                <w:sz w:val="24"/>
              </w:rPr>
            </w:pP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重点地区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考核</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成都市龙泉驿区、双流区、简阳市、乐山市沙湾区、洪雅县、青神县</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6</w:t>
            </w:r>
          </w:p>
        </w:tc>
        <w:tc>
          <w:tcPr>
            <w:tcW w:w="701" w:type="dxa"/>
            <w:vMerge/>
            <w:vAlign w:val="center"/>
          </w:tcPr>
          <w:p w:rsidR="002109B9" w:rsidRPr="002109B9" w:rsidRDefault="002109B9" w:rsidP="002109B9">
            <w:pPr>
              <w:adjustRightInd w:val="0"/>
              <w:snapToGrid w:val="0"/>
              <w:spacing w:line="580" w:lineRule="exact"/>
              <w:ind w:firstLineChars="200" w:firstLine="480"/>
              <w:jc w:val="center"/>
              <w:rPr>
                <w:rFonts w:ascii="仿宋_GB2312" w:hAnsi="宋体"/>
                <w:bCs/>
                <w:sz w:val="24"/>
              </w:rPr>
            </w:pPr>
          </w:p>
        </w:tc>
      </w:tr>
      <w:tr w:rsidR="002109B9" w:rsidRPr="002109B9" w:rsidTr="00D55D7D">
        <w:trPr>
          <w:trHeight w:val="512"/>
          <w:jc w:val="center"/>
        </w:trPr>
        <w:tc>
          <w:tcPr>
            <w:tcW w:w="786" w:type="dxa"/>
            <w:vMerge w:val="restart"/>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2017</w:t>
            </w: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一般地区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评估</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成都市温江区、郫都区、都江堰市、荥经县、江油市、乐至县、米易县、盐边县、资中县、冕宁县</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10</w:t>
            </w: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701" w:type="dxa"/>
            <w:vMerge w:val="restart"/>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16</w:t>
            </w:r>
          </w:p>
        </w:tc>
      </w:tr>
      <w:tr w:rsidR="002109B9" w:rsidRPr="002109B9" w:rsidTr="00D55D7D">
        <w:trPr>
          <w:trHeight w:val="565"/>
          <w:jc w:val="center"/>
        </w:trPr>
        <w:tc>
          <w:tcPr>
            <w:tcW w:w="786" w:type="dxa"/>
            <w:vMerge/>
            <w:vAlign w:val="center"/>
          </w:tcPr>
          <w:p w:rsidR="002109B9" w:rsidRPr="002109B9" w:rsidRDefault="002109B9" w:rsidP="002109B9">
            <w:pPr>
              <w:adjustRightInd w:val="0"/>
              <w:snapToGrid w:val="0"/>
              <w:spacing w:line="580" w:lineRule="exact"/>
              <w:ind w:firstLineChars="200" w:firstLine="480"/>
              <w:jc w:val="center"/>
              <w:rPr>
                <w:rFonts w:ascii="仿宋_GB2312" w:hAnsi="宋体"/>
                <w:bCs/>
                <w:sz w:val="24"/>
              </w:rPr>
            </w:pP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重点地区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考核</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成都市新都区、青白江区、金堂县、崇州市、雅安市雨城区、名山区</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6</w:t>
            </w:r>
          </w:p>
        </w:tc>
        <w:tc>
          <w:tcPr>
            <w:tcW w:w="701" w:type="dxa"/>
            <w:vMerge/>
            <w:vAlign w:val="center"/>
          </w:tcPr>
          <w:p w:rsidR="002109B9" w:rsidRPr="002109B9" w:rsidRDefault="002109B9" w:rsidP="002109B9">
            <w:pPr>
              <w:adjustRightInd w:val="0"/>
              <w:snapToGrid w:val="0"/>
              <w:spacing w:line="580" w:lineRule="exact"/>
              <w:ind w:firstLineChars="200" w:firstLine="480"/>
              <w:jc w:val="center"/>
              <w:rPr>
                <w:rFonts w:ascii="仿宋_GB2312" w:hAnsi="宋体"/>
                <w:bCs/>
                <w:sz w:val="24"/>
              </w:rPr>
            </w:pPr>
          </w:p>
        </w:tc>
      </w:tr>
      <w:tr w:rsidR="002109B9" w:rsidRPr="002109B9" w:rsidTr="00D55D7D">
        <w:trPr>
          <w:trHeight w:val="320"/>
          <w:jc w:val="center"/>
        </w:trPr>
        <w:tc>
          <w:tcPr>
            <w:tcW w:w="786" w:type="dxa"/>
            <w:vMerge w:val="restart"/>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2018</w:t>
            </w: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一般地区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评估</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乐山市</w:t>
            </w:r>
            <w:r w:rsidR="0097336C">
              <w:rPr>
                <w:rFonts w:ascii="仿宋_GB2312" w:hAnsi="宋体" w:hint="eastAsia"/>
                <w:sz w:val="24"/>
              </w:rPr>
              <w:t>市</w:t>
            </w:r>
            <w:r w:rsidRPr="002109B9">
              <w:rPr>
                <w:rFonts w:ascii="仿宋_GB2312" w:hAnsi="宋体" w:hint="eastAsia"/>
                <w:sz w:val="24"/>
              </w:rPr>
              <w:t>中区、五通桥区、峨眉山市、井研县、绵阳市游仙区、资阳市雁江区、会理县</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7</w:t>
            </w: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701" w:type="dxa"/>
            <w:vMerge w:val="restart"/>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14</w:t>
            </w:r>
          </w:p>
        </w:tc>
      </w:tr>
      <w:tr w:rsidR="002109B9" w:rsidRPr="002109B9" w:rsidTr="00D55D7D">
        <w:trPr>
          <w:trHeight w:val="405"/>
          <w:jc w:val="center"/>
        </w:trPr>
        <w:tc>
          <w:tcPr>
            <w:tcW w:w="786" w:type="dxa"/>
            <w:vMerge/>
            <w:vAlign w:val="center"/>
          </w:tcPr>
          <w:p w:rsidR="002109B9" w:rsidRPr="002109B9" w:rsidRDefault="002109B9" w:rsidP="002109B9">
            <w:pPr>
              <w:adjustRightInd w:val="0"/>
              <w:snapToGrid w:val="0"/>
              <w:spacing w:line="580" w:lineRule="exact"/>
              <w:ind w:firstLineChars="200" w:firstLine="480"/>
              <w:jc w:val="center"/>
              <w:rPr>
                <w:rFonts w:ascii="仿宋_GB2312" w:hAnsi="宋体"/>
                <w:bCs/>
                <w:sz w:val="24"/>
              </w:rPr>
            </w:pP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重点地区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考核</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彭州市、新津县、蒲江县、什邡市、绵竹市、北川县、喜德县</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7</w:t>
            </w:r>
          </w:p>
        </w:tc>
        <w:tc>
          <w:tcPr>
            <w:tcW w:w="701" w:type="dxa"/>
            <w:vMerge/>
            <w:vAlign w:val="center"/>
          </w:tcPr>
          <w:p w:rsidR="002109B9" w:rsidRPr="002109B9" w:rsidRDefault="002109B9" w:rsidP="002109B9">
            <w:pPr>
              <w:adjustRightInd w:val="0"/>
              <w:snapToGrid w:val="0"/>
              <w:spacing w:line="580" w:lineRule="exact"/>
              <w:ind w:firstLineChars="200" w:firstLine="480"/>
              <w:jc w:val="center"/>
              <w:rPr>
                <w:rFonts w:ascii="仿宋_GB2312" w:hAnsi="宋体"/>
                <w:bCs/>
                <w:sz w:val="24"/>
              </w:rPr>
            </w:pPr>
          </w:p>
        </w:tc>
      </w:tr>
      <w:tr w:rsidR="002109B9" w:rsidRPr="002109B9" w:rsidTr="00D55D7D">
        <w:trPr>
          <w:jc w:val="center"/>
        </w:trPr>
        <w:tc>
          <w:tcPr>
            <w:tcW w:w="78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2019</w:t>
            </w: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重点地区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考核</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大邑县、邛崃市、广汉市、绵阳市高新区、涪城区、夹江县、丹棱县、德昌县、昭觉县</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9</w:t>
            </w:r>
          </w:p>
        </w:tc>
        <w:tc>
          <w:tcPr>
            <w:tcW w:w="701"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9</w:t>
            </w:r>
          </w:p>
        </w:tc>
      </w:tr>
      <w:tr w:rsidR="002109B9" w:rsidRPr="002109B9" w:rsidTr="00D55D7D">
        <w:trPr>
          <w:trHeight w:val="989"/>
          <w:jc w:val="center"/>
        </w:trPr>
        <w:tc>
          <w:tcPr>
            <w:tcW w:w="78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2020</w:t>
            </w:r>
          </w:p>
        </w:tc>
        <w:tc>
          <w:tcPr>
            <w:tcW w:w="1359"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重点地区</w:t>
            </w:r>
          </w:p>
        </w:tc>
        <w:tc>
          <w:tcPr>
            <w:tcW w:w="926"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hint="eastAsia"/>
                <w:bCs/>
                <w:sz w:val="24"/>
              </w:rPr>
              <w:t>考核</w:t>
            </w:r>
          </w:p>
        </w:tc>
        <w:tc>
          <w:tcPr>
            <w:tcW w:w="3685" w:type="dxa"/>
            <w:vAlign w:val="center"/>
          </w:tcPr>
          <w:p w:rsidR="002109B9" w:rsidRPr="002109B9" w:rsidRDefault="002109B9" w:rsidP="002109B9">
            <w:pPr>
              <w:adjustRightInd w:val="0"/>
              <w:snapToGrid w:val="0"/>
              <w:spacing w:line="340" w:lineRule="exact"/>
              <w:jc w:val="left"/>
              <w:rPr>
                <w:rFonts w:ascii="仿宋_GB2312" w:hAnsi="宋体"/>
                <w:sz w:val="24"/>
              </w:rPr>
            </w:pPr>
            <w:r w:rsidRPr="002109B9">
              <w:rPr>
                <w:rFonts w:ascii="仿宋_GB2312" w:hAnsi="宋体" w:hint="eastAsia"/>
                <w:sz w:val="24"/>
              </w:rPr>
              <w:t>德阳市旌阳区、罗江县、</w:t>
            </w:r>
            <w:r w:rsidR="006E1D27">
              <w:rPr>
                <w:rFonts w:ascii="仿宋_GB2312" w:hAnsi="宋体" w:hint="eastAsia"/>
                <w:sz w:val="24"/>
              </w:rPr>
              <w:t>绵阳市</w:t>
            </w:r>
            <w:r w:rsidRPr="002109B9">
              <w:rPr>
                <w:rFonts w:ascii="仿宋_GB2312" w:hAnsi="宋体" w:hint="eastAsia"/>
                <w:sz w:val="24"/>
              </w:rPr>
              <w:t>安州区、眉山市东坡区、彭山区、仁寿县、天全县、西昌市</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Cs/>
                <w:sz w:val="24"/>
              </w:rPr>
            </w:pPr>
          </w:p>
        </w:tc>
        <w:tc>
          <w:tcPr>
            <w:tcW w:w="1197"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8</w:t>
            </w:r>
          </w:p>
        </w:tc>
        <w:tc>
          <w:tcPr>
            <w:tcW w:w="701" w:type="dxa"/>
            <w:vAlign w:val="center"/>
          </w:tcPr>
          <w:p w:rsidR="002109B9" w:rsidRPr="002109B9" w:rsidRDefault="002109B9" w:rsidP="002109B9">
            <w:pPr>
              <w:adjustRightInd w:val="0"/>
              <w:snapToGrid w:val="0"/>
              <w:spacing w:line="580" w:lineRule="exact"/>
              <w:jc w:val="center"/>
              <w:rPr>
                <w:rFonts w:ascii="仿宋_GB2312" w:hAnsi="宋体"/>
                <w:bCs/>
                <w:sz w:val="24"/>
              </w:rPr>
            </w:pPr>
            <w:r w:rsidRPr="002109B9">
              <w:rPr>
                <w:rFonts w:ascii="仿宋_GB2312" w:hAnsi="宋体"/>
                <w:bCs/>
                <w:sz w:val="24"/>
              </w:rPr>
              <w:t>8</w:t>
            </w:r>
          </w:p>
        </w:tc>
      </w:tr>
      <w:tr w:rsidR="002109B9" w:rsidRPr="002109B9" w:rsidTr="00D55D7D">
        <w:trPr>
          <w:trHeight w:val="666"/>
          <w:jc w:val="center"/>
        </w:trPr>
        <w:tc>
          <w:tcPr>
            <w:tcW w:w="6756" w:type="dxa"/>
            <w:gridSpan w:val="4"/>
            <w:vAlign w:val="center"/>
          </w:tcPr>
          <w:p w:rsidR="002109B9" w:rsidRPr="002109B9" w:rsidRDefault="002109B9" w:rsidP="002109B9">
            <w:pPr>
              <w:adjustRightInd w:val="0"/>
              <w:snapToGrid w:val="0"/>
              <w:spacing w:line="580" w:lineRule="exact"/>
              <w:ind w:firstLineChars="200" w:firstLine="482"/>
              <w:jc w:val="center"/>
              <w:rPr>
                <w:rFonts w:ascii="仿宋_GB2312" w:hAnsi="宋体"/>
                <w:b/>
                <w:bCs/>
                <w:sz w:val="24"/>
              </w:rPr>
            </w:pPr>
            <w:r w:rsidRPr="002109B9">
              <w:rPr>
                <w:rFonts w:ascii="仿宋_GB2312" w:hAnsi="宋体" w:hint="eastAsia"/>
                <w:b/>
                <w:bCs/>
                <w:sz w:val="24"/>
              </w:rPr>
              <w:t>合  计</w:t>
            </w:r>
          </w:p>
        </w:tc>
        <w:tc>
          <w:tcPr>
            <w:tcW w:w="1227" w:type="dxa"/>
            <w:vAlign w:val="center"/>
          </w:tcPr>
          <w:p w:rsidR="002109B9" w:rsidRPr="002109B9" w:rsidRDefault="002109B9" w:rsidP="002109B9">
            <w:pPr>
              <w:adjustRightInd w:val="0"/>
              <w:snapToGrid w:val="0"/>
              <w:spacing w:line="580" w:lineRule="exact"/>
              <w:jc w:val="center"/>
              <w:rPr>
                <w:rFonts w:ascii="仿宋_GB2312" w:hAnsi="宋体"/>
                <w:b/>
                <w:bCs/>
                <w:sz w:val="24"/>
              </w:rPr>
            </w:pPr>
            <w:r w:rsidRPr="002109B9">
              <w:rPr>
                <w:rFonts w:ascii="仿宋_GB2312" w:hAnsi="宋体"/>
                <w:b/>
                <w:bCs/>
                <w:sz w:val="24"/>
              </w:rPr>
              <w:t>24</w:t>
            </w:r>
          </w:p>
        </w:tc>
        <w:tc>
          <w:tcPr>
            <w:tcW w:w="1197" w:type="dxa"/>
            <w:vAlign w:val="center"/>
          </w:tcPr>
          <w:p w:rsidR="002109B9" w:rsidRPr="002109B9" w:rsidRDefault="002109B9" w:rsidP="002109B9">
            <w:pPr>
              <w:adjustRightInd w:val="0"/>
              <w:snapToGrid w:val="0"/>
              <w:spacing w:line="580" w:lineRule="exact"/>
              <w:jc w:val="center"/>
              <w:rPr>
                <w:rFonts w:ascii="仿宋_GB2312" w:hAnsi="宋体"/>
                <w:b/>
                <w:bCs/>
                <w:sz w:val="24"/>
              </w:rPr>
            </w:pPr>
            <w:r w:rsidRPr="002109B9">
              <w:rPr>
                <w:rFonts w:ascii="仿宋_GB2312" w:hAnsi="宋体"/>
                <w:b/>
                <w:bCs/>
                <w:sz w:val="24"/>
              </w:rPr>
              <w:t>36</w:t>
            </w:r>
          </w:p>
        </w:tc>
        <w:tc>
          <w:tcPr>
            <w:tcW w:w="701" w:type="dxa"/>
            <w:vAlign w:val="center"/>
          </w:tcPr>
          <w:p w:rsidR="002109B9" w:rsidRPr="002109B9" w:rsidRDefault="002109B9" w:rsidP="002109B9">
            <w:pPr>
              <w:adjustRightInd w:val="0"/>
              <w:snapToGrid w:val="0"/>
              <w:spacing w:line="580" w:lineRule="exact"/>
              <w:jc w:val="center"/>
              <w:rPr>
                <w:rFonts w:ascii="仿宋_GB2312" w:hAnsi="宋体"/>
                <w:b/>
                <w:bCs/>
                <w:sz w:val="24"/>
              </w:rPr>
            </w:pPr>
            <w:r w:rsidRPr="002109B9">
              <w:rPr>
                <w:rFonts w:ascii="仿宋_GB2312" w:hAnsi="宋体"/>
                <w:b/>
                <w:bCs/>
                <w:sz w:val="24"/>
              </w:rPr>
              <w:t>60</w:t>
            </w:r>
          </w:p>
        </w:tc>
      </w:tr>
    </w:tbl>
    <w:p w:rsidR="002109B9" w:rsidRPr="002109B9" w:rsidRDefault="002109B9" w:rsidP="002109B9">
      <w:pPr>
        <w:spacing w:after="120" w:line="580" w:lineRule="exact"/>
        <w:ind w:firstLine="480"/>
        <w:rPr>
          <w:rFonts w:ascii="仿宋_GB2312" w:hAnsi="宋体"/>
          <w:b/>
          <w:sz w:val="24"/>
          <w:szCs w:val="24"/>
        </w:rPr>
      </w:pPr>
      <w:r w:rsidRPr="002109B9">
        <w:rPr>
          <w:rFonts w:ascii="黑体" w:eastAsia="黑体" w:hAnsi="宋体" w:hint="eastAsia"/>
          <w:sz w:val="24"/>
          <w:szCs w:val="24"/>
        </w:rPr>
        <w:t>备注：</w:t>
      </w:r>
      <w:r w:rsidRPr="002109B9">
        <w:rPr>
          <w:rFonts w:ascii="仿宋_GB2312" w:hAnsi="宋体" w:hint="eastAsia"/>
          <w:sz w:val="24"/>
          <w:szCs w:val="24"/>
        </w:rPr>
        <w:t>中江、芦山、普格三县继续巩固传播阻断成果。</w:t>
      </w:r>
    </w:p>
    <w:p w:rsidR="002109B9" w:rsidRPr="002109B9" w:rsidRDefault="002109B9" w:rsidP="002109B9">
      <w:pPr>
        <w:tabs>
          <w:tab w:val="left" w:pos="7380"/>
          <w:tab w:val="left" w:pos="7560"/>
          <w:tab w:val="left" w:pos="7740"/>
          <w:tab w:val="left" w:pos="8100"/>
        </w:tabs>
        <w:adjustRightInd w:val="0"/>
        <w:snapToGrid w:val="0"/>
        <w:spacing w:line="580" w:lineRule="exact"/>
        <w:rPr>
          <w:rFonts w:ascii="仿宋_GB2312"/>
          <w:snapToGrid w:val="0"/>
          <w:color w:val="000000"/>
          <w:kern w:val="0"/>
          <w:szCs w:val="32"/>
        </w:rPr>
      </w:pPr>
    </w:p>
    <w:sectPr w:rsidR="002109B9" w:rsidRPr="002109B9" w:rsidSect="00D917AC">
      <w:footerReference w:type="even" r:id="rId8"/>
      <w:footerReference w:type="default" r:id="rId9"/>
      <w:pgSz w:w="11907" w:h="16840" w:code="9"/>
      <w:pgMar w:top="1440" w:right="1418"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D2A" w:rsidRDefault="00731D2A">
      <w:r>
        <w:separator/>
      </w:r>
    </w:p>
  </w:endnote>
  <w:endnote w:type="continuationSeparator" w:id="1">
    <w:p w:rsidR="00731D2A" w:rsidRDefault="00731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5F" w:rsidRPr="003B2119" w:rsidRDefault="00D1135F" w:rsidP="00032402">
    <w:pPr>
      <w:pStyle w:val="a3"/>
      <w:ind w:right="360" w:firstLine="360"/>
      <w:jc w:val="both"/>
      <w:rPr>
        <w:rFonts w:ascii="宋体" w:eastAsia="宋体" w:hAnsi="宋体"/>
        <w:sz w:val="28"/>
        <w:szCs w:val="28"/>
      </w:rPr>
    </w:pPr>
    <w:r w:rsidRPr="003B2119">
      <w:rPr>
        <w:rFonts w:ascii="宋体" w:eastAsia="宋体" w:hAnsi="宋体" w:hint="eastAsia"/>
        <w:sz w:val="28"/>
        <w:szCs w:val="28"/>
      </w:rPr>
      <w:t xml:space="preserve">— </w:t>
    </w:r>
    <w:r w:rsidR="003F126B" w:rsidRPr="003B2119">
      <w:rPr>
        <w:rStyle w:val="a4"/>
        <w:rFonts w:ascii="宋体" w:eastAsia="宋体" w:hAnsi="宋体"/>
        <w:sz w:val="28"/>
        <w:szCs w:val="28"/>
      </w:rPr>
      <w:fldChar w:fldCharType="begin"/>
    </w:r>
    <w:r w:rsidRPr="003B2119">
      <w:rPr>
        <w:rStyle w:val="a4"/>
        <w:rFonts w:ascii="宋体" w:eastAsia="宋体" w:hAnsi="宋体"/>
        <w:sz w:val="28"/>
        <w:szCs w:val="28"/>
      </w:rPr>
      <w:instrText xml:space="preserve"> PAGE </w:instrText>
    </w:r>
    <w:r w:rsidR="003F126B" w:rsidRPr="003B2119">
      <w:rPr>
        <w:rStyle w:val="a4"/>
        <w:rFonts w:ascii="宋体" w:eastAsia="宋体" w:hAnsi="宋体"/>
        <w:sz w:val="28"/>
        <w:szCs w:val="28"/>
      </w:rPr>
      <w:fldChar w:fldCharType="separate"/>
    </w:r>
    <w:r w:rsidR="0097336C">
      <w:rPr>
        <w:rStyle w:val="a4"/>
        <w:rFonts w:ascii="宋体" w:eastAsia="宋体" w:hAnsi="宋体"/>
        <w:noProof/>
        <w:sz w:val="28"/>
        <w:szCs w:val="28"/>
      </w:rPr>
      <w:t>12</w:t>
    </w:r>
    <w:r w:rsidR="003F126B" w:rsidRPr="003B2119">
      <w:rPr>
        <w:rStyle w:val="a4"/>
        <w:rFonts w:ascii="宋体" w:eastAsia="宋体" w:hAnsi="宋体"/>
        <w:sz w:val="28"/>
        <w:szCs w:val="28"/>
      </w:rPr>
      <w:fldChar w:fldCharType="end"/>
    </w:r>
    <w:r w:rsidRPr="003B2119">
      <w:rPr>
        <w:rStyle w:val="a4"/>
        <w:rFonts w:ascii="宋体" w:eastAsia="宋体" w:hAnsi="宋体" w:hint="eastAsia"/>
        <w:sz w:val="28"/>
        <w:szCs w:val="28"/>
      </w:rPr>
      <w:t xml:space="preserve"> </w:t>
    </w:r>
    <w:r w:rsidRPr="003B2119">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35F" w:rsidRPr="003B2119" w:rsidRDefault="00D1135F" w:rsidP="00032402">
    <w:pPr>
      <w:pStyle w:val="a3"/>
      <w:ind w:right="360" w:firstLine="360"/>
      <w:jc w:val="right"/>
      <w:rPr>
        <w:rFonts w:ascii="宋体" w:eastAsia="宋体" w:hAnsi="宋体"/>
        <w:sz w:val="28"/>
        <w:szCs w:val="28"/>
      </w:rPr>
    </w:pPr>
    <w:r w:rsidRPr="003B2119">
      <w:rPr>
        <w:rFonts w:ascii="宋体" w:eastAsia="宋体" w:hAnsi="宋体" w:hint="eastAsia"/>
        <w:sz w:val="28"/>
        <w:szCs w:val="28"/>
      </w:rPr>
      <w:t xml:space="preserve">— </w:t>
    </w:r>
    <w:r w:rsidR="003F126B" w:rsidRPr="003B2119">
      <w:rPr>
        <w:rStyle w:val="a4"/>
        <w:rFonts w:ascii="宋体" w:eastAsia="宋体" w:hAnsi="宋体"/>
        <w:sz w:val="28"/>
        <w:szCs w:val="28"/>
      </w:rPr>
      <w:fldChar w:fldCharType="begin"/>
    </w:r>
    <w:r w:rsidRPr="003B2119">
      <w:rPr>
        <w:rStyle w:val="a4"/>
        <w:rFonts w:ascii="宋体" w:eastAsia="宋体" w:hAnsi="宋体"/>
        <w:sz w:val="28"/>
        <w:szCs w:val="28"/>
      </w:rPr>
      <w:instrText xml:space="preserve"> PAGE </w:instrText>
    </w:r>
    <w:r w:rsidR="003F126B" w:rsidRPr="003B2119">
      <w:rPr>
        <w:rStyle w:val="a4"/>
        <w:rFonts w:ascii="宋体" w:eastAsia="宋体" w:hAnsi="宋体"/>
        <w:sz w:val="28"/>
        <w:szCs w:val="28"/>
      </w:rPr>
      <w:fldChar w:fldCharType="separate"/>
    </w:r>
    <w:r w:rsidR="0097336C">
      <w:rPr>
        <w:rStyle w:val="a4"/>
        <w:rFonts w:ascii="宋体" w:eastAsia="宋体" w:hAnsi="宋体"/>
        <w:noProof/>
        <w:sz w:val="28"/>
        <w:szCs w:val="28"/>
      </w:rPr>
      <w:t>13</w:t>
    </w:r>
    <w:r w:rsidR="003F126B" w:rsidRPr="003B2119">
      <w:rPr>
        <w:rStyle w:val="a4"/>
        <w:rFonts w:ascii="宋体" w:eastAsia="宋体" w:hAnsi="宋体"/>
        <w:sz w:val="28"/>
        <w:szCs w:val="28"/>
      </w:rPr>
      <w:fldChar w:fldCharType="end"/>
    </w:r>
    <w:r w:rsidRPr="003B2119">
      <w:rPr>
        <w:rStyle w:val="a4"/>
        <w:rFonts w:ascii="宋体" w:eastAsia="宋体" w:hAnsi="宋体" w:hint="eastAsia"/>
        <w:sz w:val="28"/>
        <w:szCs w:val="28"/>
      </w:rPr>
      <w:t xml:space="preserve"> </w:t>
    </w:r>
    <w:r w:rsidRPr="003B2119">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D2A" w:rsidRDefault="00731D2A">
      <w:r>
        <w:separator/>
      </w:r>
    </w:p>
  </w:footnote>
  <w:footnote w:type="continuationSeparator" w:id="1">
    <w:p w:rsidR="00731D2A" w:rsidRDefault="00731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53D21"/>
    <w:multiLevelType w:val="multilevel"/>
    <w:tmpl w:val="00000000"/>
    <w:lvl w:ilvl="0">
      <w:start w:val="1"/>
      <w:numFmt w:val="decimal"/>
      <w:suff w:val="nothing"/>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C5A"/>
    <w:rsid w:val="00000882"/>
    <w:rsid w:val="00012F22"/>
    <w:rsid w:val="00027A93"/>
    <w:rsid w:val="00030EAF"/>
    <w:rsid w:val="00032402"/>
    <w:rsid w:val="00040A0E"/>
    <w:rsid w:val="00040C04"/>
    <w:rsid w:val="000439A9"/>
    <w:rsid w:val="0006050A"/>
    <w:rsid w:val="00073885"/>
    <w:rsid w:val="000824C1"/>
    <w:rsid w:val="000851DD"/>
    <w:rsid w:val="000864E9"/>
    <w:rsid w:val="00095990"/>
    <w:rsid w:val="000C275A"/>
    <w:rsid w:val="000E226B"/>
    <w:rsid w:val="00135552"/>
    <w:rsid w:val="00161EAF"/>
    <w:rsid w:val="001A18BE"/>
    <w:rsid w:val="001C2286"/>
    <w:rsid w:val="001C33C3"/>
    <w:rsid w:val="001D7CF6"/>
    <w:rsid w:val="002109B9"/>
    <w:rsid w:val="00231CEE"/>
    <w:rsid w:val="00232CC9"/>
    <w:rsid w:val="00256AF9"/>
    <w:rsid w:val="002878AC"/>
    <w:rsid w:val="00291EDF"/>
    <w:rsid w:val="00292EA6"/>
    <w:rsid w:val="00297028"/>
    <w:rsid w:val="002B249B"/>
    <w:rsid w:val="002D4164"/>
    <w:rsid w:val="002E0E9C"/>
    <w:rsid w:val="002E3F72"/>
    <w:rsid w:val="00313134"/>
    <w:rsid w:val="00345541"/>
    <w:rsid w:val="00347DFD"/>
    <w:rsid w:val="003624E6"/>
    <w:rsid w:val="0038321E"/>
    <w:rsid w:val="003A12B5"/>
    <w:rsid w:val="003A2171"/>
    <w:rsid w:val="003B1800"/>
    <w:rsid w:val="003B2119"/>
    <w:rsid w:val="003B38A0"/>
    <w:rsid w:val="003D7E64"/>
    <w:rsid w:val="003E30DB"/>
    <w:rsid w:val="003E3C95"/>
    <w:rsid w:val="003F0808"/>
    <w:rsid w:val="003F126B"/>
    <w:rsid w:val="00404919"/>
    <w:rsid w:val="00406A14"/>
    <w:rsid w:val="00420E8C"/>
    <w:rsid w:val="00425AD5"/>
    <w:rsid w:val="004352CC"/>
    <w:rsid w:val="004504FB"/>
    <w:rsid w:val="00455495"/>
    <w:rsid w:val="00465915"/>
    <w:rsid w:val="00477820"/>
    <w:rsid w:val="00482A13"/>
    <w:rsid w:val="004C0127"/>
    <w:rsid w:val="004C37A8"/>
    <w:rsid w:val="004D7DD5"/>
    <w:rsid w:val="004F27B0"/>
    <w:rsid w:val="004F6387"/>
    <w:rsid w:val="004F73A3"/>
    <w:rsid w:val="0050787C"/>
    <w:rsid w:val="00521D45"/>
    <w:rsid w:val="00541EDA"/>
    <w:rsid w:val="00544CC5"/>
    <w:rsid w:val="005A1FE4"/>
    <w:rsid w:val="005A42CF"/>
    <w:rsid w:val="005B6427"/>
    <w:rsid w:val="005E1648"/>
    <w:rsid w:val="005F749D"/>
    <w:rsid w:val="006008FA"/>
    <w:rsid w:val="00603513"/>
    <w:rsid w:val="00642823"/>
    <w:rsid w:val="0065174C"/>
    <w:rsid w:val="006550FA"/>
    <w:rsid w:val="00671130"/>
    <w:rsid w:val="00675897"/>
    <w:rsid w:val="00680682"/>
    <w:rsid w:val="00687568"/>
    <w:rsid w:val="006A0964"/>
    <w:rsid w:val="006B12B7"/>
    <w:rsid w:val="006B66A6"/>
    <w:rsid w:val="006C34D5"/>
    <w:rsid w:val="006C3784"/>
    <w:rsid w:val="006C3B57"/>
    <w:rsid w:val="006D73EC"/>
    <w:rsid w:val="006E1D27"/>
    <w:rsid w:val="006E54D2"/>
    <w:rsid w:val="0071652C"/>
    <w:rsid w:val="00731D2A"/>
    <w:rsid w:val="00740B6F"/>
    <w:rsid w:val="00743A3D"/>
    <w:rsid w:val="0075276F"/>
    <w:rsid w:val="00766FFD"/>
    <w:rsid w:val="00784E88"/>
    <w:rsid w:val="0078734B"/>
    <w:rsid w:val="007A1A2B"/>
    <w:rsid w:val="007A6328"/>
    <w:rsid w:val="007B3003"/>
    <w:rsid w:val="007B4E99"/>
    <w:rsid w:val="007C4662"/>
    <w:rsid w:val="007D128A"/>
    <w:rsid w:val="007E331C"/>
    <w:rsid w:val="008006C6"/>
    <w:rsid w:val="00815CF3"/>
    <w:rsid w:val="0081706E"/>
    <w:rsid w:val="00826CBA"/>
    <w:rsid w:val="00826DCD"/>
    <w:rsid w:val="008362C7"/>
    <w:rsid w:val="0083790C"/>
    <w:rsid w:val="00855BD0"/>
    <w:rsid w:val="008604CC"/>
    <w:rsid w:val="0088673B"/>
    <w:rsid w:val="008A4A59"/>
    <w:rsid w:val="008A5141"/>
    <w:rsid w:val="008C20E2"/>
    <w:rsid w:val="008E4C5A"/>
    <w:rsid w:val="008F143B"/>
    <w:rsid w:val="008F5927"/>
    <w:rsid w:val="008F60A1"/>
    <w:rsid w:val="0095686C"/>
    <w:rsid w:val="0096248B"/>
    <w:rsid w:val="009654DB"/>
    <w:rsid w:val="009730E6"/>
    <w:rsid w:val="0097336C"/>
    <w:rsid w:val="00981E2C"/>
    <w:rsid w:val="009B2C97"/>
    <w:rsid w:val="009B5C94"/>
    <w:rsid w:val="00A32AD3"/>
    <w:rsid w:val="00A33463"/>
    <w:rsid w:val="00A3389A"/>
    <w:rsid w:val="00A37D21"/>
    <w:rsid w:val="00A52497"/>
    <w:rsid w:val="00A62531"/>
    <w:rsid w:val="00A93A70"/>
    <w:rsid w:val="00AA22D3"/>
    <w:rsid w:val="00AA57A2"/>
    <w:rsid w:val="00AC372B"/>
    <w:rsid w:val="00AC72DB"/>
    <w:rsid w:val="00B047B6"/>
    <w:rsid w:val="00B21C3E"/>
    <w:rsid w:val="00B271EA"/>
    <w:rsid w:val="00B31604"/>
    <w:rsid w:val="00B44CE9"/>
    <w:rsid w:val="00B741A3"/>
    <w:rsid w:val="00B979B5"/>
    <w:rsid w:val="00BB0452"/>
    <w:rsid w:val="00BD5007"/>
    <w:rsid w:val="00BD58C3"/>
    <w:rsid w:val="00BE00B5"/>
    <w:rsid w:val="00BE1448"/>
    <w:rsid w:val="00BF0D30"/>
    <w:rsid w:val="00BF1078"/>
    <w:rsid w:val="00BF250D"/>
    <w:rsid w:val="00BF6713"/>
    <w:rsid w:val="00C03098"/>
    <w:rsid w:val="00C034B3"/>
    <w:rsid w:val="00C14081"/>
    <w:rsid w:val="00C14947"/>
    <w:rsid w:val="00C471F2"/>
    <w:rsid w:val="00CA6361"/>
    <w:rsid w:val="00CB0542"/>
    <w:rsid w:val="00CB178D"/>
    <w:rsid w:val="00CB1F6C"/>
    <w:rsid w:val="00CD0763"/>
    <w:rsid w:val="00CF556A"/>
    <w:rsid w:val="00CF7565"/>
    <w:rsid w:val="00D06D4D"/>
    <w:rsid w:val="00D1135F"/>
    <w:rsid w:val="00D14530"/>
    <w:rsid w:val="00D30999"/>
    <w:rsid w:val="00D76C4D"/>
    <w:rsid w:val="00D779A4"/>
    <w:rsid w:val="00D77B6B"/>
    <w:rsid w:val="00D8682E"/>
    <w:rsid w:val="00D917AC"/>
    <w:rsid w:val="00D9663A"/>
    <w:rsid w:val="00D96754"/>
    <w:rsid w:val="00DF4CA6"/>
    <w:rsid w:val="00E010E3"/>
    <w:rsid w:val="00E45E14"/>
    <w:rsid w:val="00E518E8"/>
    <w:rsid w:val="00E578C7"/>
    <w:rsid w:val="00E61227"/>
    <w:rsid w:val="00E62AAB"/>
    <w:rsid w:val="00E62B57"/>
    <w:rsid w:val="00E63BDC"/>
    <w:rsid w:val="00E679D6"/>
    <w:rsid w:val="00E92B87"/>
    <w:rsid w:val="00E961C4"/>
    <w:rsid w:val="00EA58C7"/>
    <w:rsid w:val="00EB6F5D"/>
    <w:rsid w:val="00EC71CF"/>
    <w:rsid w:val="00ED1946"/>
    <w:rsid w:val="00EE18C7"/>
    <w:rsid w:val="00EE3C64"/>
    <w:rsid w:val="00F352E2"/>
    <w:rsid w:val="00F5220F"/>
    <w:rsid w:val="00F540F0"/>
    <w:rsid w:val="00F54BB2"/>
    <w:rsid w:val="00F569B0"/>
    <w:rsid w:val="00F74364"/>
    <w:rsid w:val="00F75285"/>
    <w:rsid w:val="00F77856"/>
    <w:rsid w:val="00F9613B"/>
    <w:rsid w:val="00FA42DF"/>
    <w:rsid w:val="00FD09F2"/>
    <w:rsid w:val="00FF20AC"/>
    <w:rsid w:val="00FF4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C5A"/>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E4C5A"/>
    <w:pPr>
      <w:tabs>
        <w:tab w:val="center" w:pos="4153"/>
        <w:tab w:val="right" w:pos="8306"/>
      </w:tabs>
      <w:snapToGrid w:val="0"/>
      <w:jc w:val="left"/>
    </w:pPr>
    <w:rPr>
      <w:sz w:val="18"/>
    </w:rPr>
  </w:style>
  <w:style w:type="character" w:styleId="a4">
    <w:name w:val="page number"/>
    <w:basedOn w:val="a0"/>
    <w:rsid w:val="008E4C5A"/>
  </w:style>
  <w:style w:type="table" w:styleId="a5">
    <w:name w:val="Table Grid"/>
    <w:basedOn w:val="a1"/>
    <w:rsid w:val="008E4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604CC"/>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65174C"/>
    <w:pPr>
      <w:ind w:leftChars="2500" w:left="100"/>
    </w:pPr>
  </w:style>
  <w:style w:type="paragraph" w:styleId="a8">
    <w:name w:val="Balloon Text"/>
    <w:basedOn w:val="a"/>
    <w:semiHidden/>
    <w:rsid w:val="00D77B6B"/>
    <w:rPr>
      <w:sz w:val="18"/>
      <w:szCs w:val="18"/>
    </w:rPr>
  </w:style>
  <w:style w:type="paragraph" w:styleId="a9">
    <w:name w:val="Normal (Web)"/>
    <w:basedOn w:val="a"/>
    <w:rsid w:val="000E226B"/>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
    <w:name w:val="正文文本 Char"/>
    <w:basedOn w:val="a0"/>
    <w:link w:val="aa"/>
    <w:rsid w:val="00B271EA"/>
    <w:rPr>
      <w:rFonts w:eastAsia="宋体"/>
      <w:kern w:val="2"/>
      <w:sz w:val="21"/>
      <w:szCs w:val="24"/>
      <w:lang w:bidi="ar-SA"/>
    </w:rPr>
  </w:style>
  <w:style w:type="paragraph" w:styleId="aa">
    <w:name w:val="Body Text"/>
    <w:basedOn w:val="a"/>
    <w:link w:val="Char"/>
    <w:rsid w:val="00B271EA"/>
    <w:pPr>
      <w:spacing w:after="120"/>
    </w:pPr>
    <w:rPr>
      <w:rFonts w:eastAsia="宋体"/>
      <w:sz w:val="21"/>
      <w:szCs w:val="24"/>
    </w:rPr>
  </w:style>
  <w:style w:type="paragraph" w:customStyle="1" w:styleId="2">
    <w:name w:val="列出段落2"/>
    <w:basedOn w:val="a"/>
    <w:rsid w:val="00D917AC"/>
    <w:pPr>
      <w:ind w:firstLineChars="200" w:firstLine="420"/>
    </w:pPr>
    <w:rPr>
      <w:rFonts w:eastAsia="宋体"/>
      <w:sz w:val="21"/>
      <w:szCs w:val="24"/>
    </w:rPr>
  </w:style>
</w:styles>
</file>

<file path=word/webSettings.xml><?xml version="1.0" encoding="utf-8"?>
<w:webSettings xmlns:r="http://schemas.openxmlformats.org/officeDocument/2006/relationships" xmlns:w="http://schemas.openxmlformats.org/wordprocessingml/2006/main">
  <w:divs>
    <w:div w:id="7836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D84D-1F53-4C95-8DE6-0DAB2E27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1012</Words>
  <Characters>5775</Characters>
  <Application>Microsoft Office Word</Application>
  <DocSecurity>0</DocSecurity>
  <Lines>48</Lines>
  <Paragraphs>13</Paragraphs>
  <ScaleCrop>false</ScaleCrop>
  <Company>海丰印刷</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急  件</dc:title>
  <dc:subject/>
  <dc:creator>USER</dc:creator>
  <cp:keywords/>
  <cp:lastModifiedBy>User</cp:lastModifiedBy>
  <cp:revision>16</cp:revision>
  <cp:lastPrinted>2017-08-01T02:58:00Z</cp:lastPrinted>
  <dcterms:created xsi:type="dcterms:W3CDTF">2017-07-04T08:03:00Z</dcterms:created>
  <dcterms:modified xsi:type="dcterms:W3CDTF">2017-08-28T08:17:00Z</dcterms:modified>
</cp:coreProperties>
</file>